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48" w:rsidRDefault="00041A34">
      <w:pPr>
        <w:pStyle w:val="BodyText"/>
        <w:ind w:left="6633"/>
        <w:rPr>
          <w:rFonts w:ascii="Times New Roman"/>
        </w:rPr>
      </w:pPr>
      <w:r>
        <w:rPr>
          <w:rFonts w:ascii="Times New Roman"/>
          <w:noProof/>
          <w:lang w:bidi="ar-SA"/>
        </w:rPr>
        <w:drawing>
          <wp:inline distT="0" distB="0" distL="0" distR="0">
            <wp:extent cx="1840481" cy="27536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40481" cy="275367"/>
                    </a:xfrm>
                    <a:prstGeom prst="rect">
                      <a:avLst/>
                    </a:prstGeom>
                  </pic:spPr>
                </pic:pic>
              </a:graphicData>
            </a:graphic>
          </wp:inline>
        </w:drawing>
      </w:r>
    </w:p>
    <w:p w:rsidR="001E7748" w:rsidRDefault="001E7748">
      <w:pPr>
        <w:pStyle w:val="BodyText"/>
        <w:rPr>
          <w:rFonts w:ascii="Times New Roman"/>
        </w:rPr>
      </w:pPr>
    </w:p>
    <w:p w:rsidR="001E7748" w:rsidRDefault="001E7748">
      <w:pPr>
        <w:pStyle w:val="BodyText"/>
        <w:rPr>
          <w:rFonts w:ascii="Times New Roman"/>
        </w:rPr>
      </w:pPr>
    </w:p>
    <w:p w:rsidR="001E7748" w:rsidRDefault="001E7748">
      <w:pPr>
        <w:pStyle w:val="BodyText"/>
        <w:rPr>
          <w:rFonts w:ascii="Times New Roman"/>
        </w:rPr>
      </w:pPr>
    </w:p>
    <w:p w:rsidR="001E7748" w:rsidRDefault="001E7748">
      <w:pPr>
        <w:pStyle w:val="BodyText"/>
        <w:rPr>
          <w:rFonts w:ascii="Times New Roman"/>
        </w:rPr>
      </w:pPr>
    </w:p>
    <w:p w:rsidR="001E7748" w:rsidRDefault="001E7748">
      <w:pPr>
        <w:pStyle w:val="BodyText"/>
        <w:rPr>
          <w:rFonts w:ascii="Times New Roman"/>
        </w:rPr>
      </w:pPr>
    </w:p>
    <w:p w:rsidR="001E7748" w:rsidRDefault="001E7748">
      <w:pPr>
        <w:pStyle w:val="BodyText"/>
        <w:rPr>
          <w:rFonts w:ascii="Times New Roman"/>
        </w:rPr>
      </w:pPr>
    </w:p>
    <w:p w:rsidR="001E7748" w:rsidRDefault="001E7748">
      <w:pPr>
        <w:pStyle w:val="BodyText"/>
        <w:rPr>
          <w:rFonts w:ascii="Times New Roman"/>
        </w:rPr>
      </w:pPr>
    </w:p>
    <w:p w:rsidR="001E7748" w:rsidRDefault="001E7748">
      <w:pPr>
        <w:pStyle w:val="BodyText"/>
        <w:rPr>
          <w:rFonts w:ascii="Times New Roman"/>
        </w:rPr>
      </w:pPr>
    </w:p>
    <w:p w:rsidR="001E7748" w:rsidRDefault="001E7748">
      <w:pPr>
        <w:pStyle w:val="BodyText"/>
        <w:rPr>
          <w:rFonts w:ascii="Times New Roman"/>
        </w:rPr>
      </w:pPr>
    </w:p>
    <w:p w:rsidR="001E7748" w:rsidRDefault="001E7748">
      <w:pPr>
        <w:pStyle w:val="BodyText"/>
        <w:spacing w:before="8"/>
        <w:rPr>
          <w:rFonts w:ascii="Times New Roman"/>
          <w:sz w:val="26"/>
        </w:rPr>
      </w:pPr>
    </w:p>
    <w:p w:rsidR="001E7748" w:rsidRDefault="00500F87">
      <w:pPr>
        <w:spacing w:before="89" w:line="276" w:lineRule="auto"/>
        <w:ind w:left="102" w:right="1923"/>
        <w:rPr>
          <w:b/>
          <w:color w:val="172749"/>
          <w:sz w:val="32"/>
        </w:rPr>
      </w:pPr>
      <w:r>
        <w:rPr>
          <w:b/>
          <w:color w:val="172749"/>
          <w:sz w:val="32"/>
        </w:rPr>
        <w:t>G</w:t>
      </w:r>
      <w:r w:rsidR="00041A34">
        <w:rPr>
          <w:b/>
          <w:color w:val="172749"/>
          <w:sz w:val="32"/>
        </w:rPr>
        <w:t>uidelines for remuneration to Senior Executives</w:t>
      </w:r>
    </w:p>
    <w:p w:rsidR="001E7748" w:rsidRPr="00500F87" w:rsidRDefault="00500F87" w:rsidP="00500F87">
      <w:pPr>
        <w:pStyle w:val="BodyText"/>
        <w:spacing w:before="202" w:line="290" w:lineRule="auto"/>
        <w:ind w:left="102" w:right="1304"/>
        <w:rPr>
          <w:color w:val="585756"/>
        </w:rPr>
      </w:pPr>
      <w:r w:rsidRPr="00500F87">
        <w:rPr>
          <w:color w:val="585756"/>
        </w:rPr>
        <w:t>Guidelines for remuneration to Senior Executives</w:t>
      </w:r>
      <w:r>
        <w:rPr>
          <w:color w:val="585756"/>
        </w:rPr>
        <w:t xml:space="preserve"> adopted at the </w:t>
      </w:r>
      <w:r w:rsidR="00041A34">
        <w:rPr>
          <w:color w:val="585756"/>
        </w:rPr>
        <w:t>202</w:t>
      </w:r>
      <w:r w:rsidR="00FF74AE">
        <w:rPr>
          <w:color w:val="585756"/>
        </w:rPr>
        <w:t>1</w:t>
      </w:r>
      <w:r>
        <w:rPr>
          <w:color w:val="585756"/>
        </w:rPr>
        <w:t xml:space="preserve"> Annual General Meeting.</w:t>
      </w:r>
      <w:bookmarkStart w:id="0" w:name="_GoBack"/>
      <w:bookmarkEnd w:id="0"/>
    </w:p>
    <w:p w:rsidR="001E7748" w:rsidRDefault="001E7748">
      <w:pPr>
        <w:pStyle w:val="BodyText"/>
        <w:rPr>
          <w:sz w:val="30"/>
        </w:rPr>
      </w:pPr>
    </w:p>
    <w:p w:rsidR="001E7748" w:rsidRDefault="00041A34" w:rsidP="009F159F">
      <w:pPr>
        <w:pStyle w:val="Heading1"/>
        <w:numPr>
          <w:ilvl w:val="0"/>
          <w:numId w:val="1"/>
        </w:numPr>
        <w:tabs>
          <w:tab w:val="left" w:pos="821"/>
          <w:tab w:val="left" w:pos="822"/>
        </w:tabs>
      </w:pPr>
      <w:r>
        <w:rPr>
          <w:color w:val="172749"/>
        </w:rPr>
        <w:t>Scope of the guidelines,</w:t>
      </w:r>
      <w:r>
        <w:rPr>
          <w:color w:val="172749"/>
          <w:spacing w:val="-1"/>
        </w:rPr>
        <w:t xml:space="preserve"> </w:t>
      </w:r>
      <w:r>
        <w:rPr>
          <w:color w:val="172749"/>
        </w:rPr>
        <w:t>etc.</w:t>
      </w:r>
    </w:p>
    <w:p w:rsidR="001E7748" w:rsidRPr="009F159F" w:rsidRDefault="00041A34" w:rsidP="00BA1F13">
      <w:pPr>
        <w:pStyle w:val="BodyText"/>
        <w:spacing w:before="207" w:line="292" w:lineRule="auto"/>
        <w:ind w:left="102" w:right="826"/>
        <w:rPr>
          <w:color w:val="585756"/>
        </w:rPr>
      </w:pPr>
      <w:r>
        <w:rPr>
          <w:color w:val="585756"/>
        </w:rPr>
        <w:t xml:space="preserve">These guidelines </w:t>
      </w:r>
      <w:r w:rsidR="00BB3DBD">
        <w:rPr>
          <w:color w:val="585756"/>
        </w:rPr>
        <w:t>cover</w:t>
      </w:r>
      <w:r>
        <w:rPr>
          <w:color w:val="585756"/>
        </w:rPr>
        <w:t xml:space="preserve"> the individuals who, during the validity </w:t>
      </w:r>
      <w:r w:rsidR="00BB3DBD">
        <w:rPr>
          <w:color w:val="585756"/>
        </w:rPr>
        <w:t>period of</w:t>
      </w:r>
      <w:r>
        <w:rPr>
          <w:color w:val="585756"/>
        </w:rPr>
        <w:t xml:space="preserve"> the guidelines, are included in the </w:t>
      </w:r>
      <w:r w:rsidR="00146A8A">
        <w:rPr>
          <w:color w:val="585756"/>
        </w:rPr>
        <w:t>group</w:t>
      </w:r>
      <w:r>
        <w:rPr>
          <w:color w:val="585756"/>
        </w:rPr>
        <w:t xml:space="preserve"> management of Getinge AB (publ), below referred to as “Senior Executives”. </w:t>
      </w:r>
      <w:r w:rsidR="00BA1F13">
        <w:rPr>
          <w:color w:val="585756"/>
        </w:rPr>
        <w:t>T</w:t>
      </w:r>
      <w:r>
        <w:rPr>
          <w:color w:val="585756"/>
        </w:rPr>
        <w:t xml:space="preserve">he guidelines shall </w:t>
      </w:r>
      <w:r w:rsidR="00BA1F13">
        <w:rPr>
          <w:color w:val="585756"/>
        </w:rPr>
        <w:t>apply for</w:t>
      </w:r>
      <w:r>
        <w:rPr>
          <w:color w:val="585756"/>
        </w:rPr>
        <w:t xml:space="preserve"> remuneration agreed and amendments in </w:t>
      </w:r>
      <w:r w:rsidR="00BA1F13">
        <w:rPr>
          <w:color w:val="585756"/>
        </w:rPr>
        <w:t xml:space="preserve">any </w:t>
      </w:r>
      <w:r>
        <w:rPr>
          <w:color w:val="585756"/>
        </w:rPr>
        <w:t>remunerations already agreed</w:t>
      </w:r>
      <w:r w:rsidR="00BA1F13">
        <w:rPr>
          <w:color w:val="585756"/>
        </w:rPr>
        <w:t>, as of the adoption of the guidelines by the Annual General Meeting 2021. The</w:t>
      </w:r>
      <w:r>
        <w:rPr>
          <w:color w:val="585756"/>
        </w:rPr>
        <w:t xml:space="preserve"> guidelines </w:t>
      </w:r>
      <w:r w:rsidR="00BA1F13">
        <w:rPr>
          <w:color w:val="585756"/>
        </w:rPr>
        <w:t xml:space="preserve">are not applicable on any remuneration resolved </w:t>
      </w:r>
      <w:r>
        <w:rPr>
          <w:color w:val="585756"/>
        </w:rPr>
        <w:t>by the General Meeting.</w:t>
      </w:r>
    </w:p>
    <w:p w:rsidR="001E7748" w:rsidRDefault="001E7748">
      <w:pPr>
        <w:pStyle w:val="BodyText"/>
        <w:spacing w:before="4"/>
        <w:rPr>
          <w:sz w:val="29"/>
        </w:rPr>
      </w:pPr>
    </w:p>
    <w:p w:rsidR="001E7748" w:rsidRDefault="00041A34" w:rsidP="009F159F">
      <w:pPr>
        <w:pStyle w:val="Heading1"/>
        <w:numPr>
          <w:ilvl w:val="0"/>
          <w:numId w:val="1"/>
        </w:numPr>
        <w:tabs>
          <w:tab w:val="left" w:pos="821"/>
          <w:tab w:val="left" w:pos="822"/>
        </w:tabs>
        <w:spacing w:line="264" w:lineRule="auto"/>
        <w:ind w:left="821" w:right="1860"/>
      </w:pPr>
      <w:r>
        <w:rPr>
          <w:color w:val="172749"/>
        </w:rPr>
        <w:t>Promotion of Getinge’s business strategy, long-term interests and sustainability,</w:t>
      </w:r>
      <w:r>
        <w:rPr>
          <w:color w:val="172749"/>
          <w:spacing w:val="1"/>
        </w:rPr>
        <w:t xml:space="preserve"> </w:t>
      </w:r>
      <w:r>
        <w:rPr>
          <w:color w:val="172749"/>
        </w:rPr>
        <w:t>etc.</w:t>
      </w:r>
    </w:p>
    <w:p w:rsidR="001E7748" w:rsidRPr="009F159F" w:rsidRDefault="00041A34">
      <w:pPr>
        <w:pStyle w:val="BodyText"/>
        <w:spacing w:before="183" w:line="292" w:lineRule="auto"/>
        <w:ind w:left="102" w:right="791"/>
        <w:rPr>
          <w:color w:val="585756"/>
        </w:rPr>
      </w:pPr>
      <w:r>
        <w:rPr>
          <w:color w:val="585756"/>
        </w:rPr>
        <w:t>A prerequisite for successful implementation of the company’s bus</w:t>
      </w:r>
      <w:r w:rsidR="00F75A6D">
        <w:rPr>
          <w:color w:val="585756"/>
        </w:rPr>
        <w:t>iness strategy and safeguarding the company’s</w:t>
      </w:r>
      <w:r>
        <w:rPr>
          <w:color w:val="585756"/>
        </w:rPr>
        <w:t xml:space="preserve"> long-term </w:t>
      </w:r>
      <w:r w:rsidR="00F75A6D">
        <w:rPr>
          <w:color w:val="585756"/>
        </w:rPr>
        <w:t>interests</w:t>
      </w:r>
      <w:r>
        <w:rPr>
          <w:color w:val="585756"/>
        </w:rPr>
        <w:t xml:space="preserve"> is that the company is able to recruit and retain qualified personnel. The </w:t>
      </w:r>
      <w:r w:rsidR="00F75A6D">
        <w:rPr>
          <w:color w:val="585756"/>
        </w:rPr>
        <w:t>main</w:t>
      </w:r>
      <w:r>
        <w:rPr>
          <w:color w:val="585756"/>
        </w:rPr>
        <w:t xml:space="preserve"> principle is that remuneration and other employment</w:t>
      </w:r>
      <w:r w:rsidR="00F75A6D">
        <w:rPr>
          <w:color w:val="585756"/>
        </w:rPr>
        <w:t xml:space="preserve"> conditions</w:t>
      </w:r>
      <w:r>
        <w:rPr>
          <w:color w:val="585756"/>
        </w:rPr>
        <w:t xml:space="preserve"> for Senior Executives, shall be in line with market </w:t>
      </w:r>
      <w:r w:rsidR="00F75A6D">
        <w:rPr>
          <w:color w:val="585756"/>
        </w:rPr>
        <w:t>terms</w:t>
      </w:r>
      <w:r>
        <w:rPr>
          <w:color w:val="585756"/>
        </w:rPr>
        <w:t xml:space="preserve"> and competitive on every market where Getinge operates, to ensure that competent and skilled personnel </w:t>
      </w:r>
      <w:r w:rsidR="00BB3DBD">
        <w:rPr>
          <w:color w:val="585756"/>
        </w:rPr>
        <w:t>can be</w:t>
      </w:r>
      <w:r>
        <w:rPr>
          <w:color w:val="585756"/>
        </w:rPr>
        <w:t xml:space="preserve"> attracted, motivated and retained. Individual levels of remuneration shall be based on </w:t>
      </w:r>
      <w:proofErr w:type="gramStart"/>
      <w:r w:rsidR="00F75A6D">
        <w:rPr>
          <w:color w:val="585756"/>
        </w:rPr>
        <w:t>experience,</w:t>
      </w:r>
      <w:proofErr w:type="gramEnd"/>
      <w:r>
        <w:rPr>
          <w:color w:val="585756"/>
        </w:rPr>
        <w:t xml:space="preserve"> competence, level of responsibility and performance, and also the country were the Senior Executive is employed. These guidelines promote the company’s business strategy, long-term interests and sustainability as described in the below section regarding criteria for variable remuneration, and contribute to the </w:t>
      </w:r>
      <w:r w:rsidR="00F75A6D">
        <w:rPr>
          <w:color w:val="585756"/>
        </w:rPr>
        <w:t xml:space="preserve">company’s </w:t>
      </w:r>
      <w:r>
        <w:rPr>
          <w:color w:val="585756"/>
        </w:rPr>
        <w:t xml:space="preserve">ability to, on a long-term basis, </w:t>
      </w:r>
      <w:r w:rsidRPr="00F75A6D">
        <w:rPr>
          <w:color w:val="585756"/>
        </w:rPr>
        <w:t>retain</w:t>
      </w:r>
      <w:r>
        <w:rPr>
          <w:color w:val="585756"/>
        </w:rPr>
        <w:t xml:space="preserve"> qualified personnel.</w:t>
      </w:r>
    </w:p>
    <w:p w:rsidR="00FF74AE" w:rsidRPr="00FF74AE" w:rsidRDefault="00FF74AE">
      <w:pPr>
        <w:pStyle w:val="BodyText"/>
        <w:spacing w:before="183" w:line="292" w:lineRule="auto"/>
        <w:ind w:left="102" w:right="791"/>
      </w:pPr>
      <w:r>
        <w:rPr>
          <w:color w:val="585756"/>
        </w:rPr>
        <w:t xml:space="preserve">For information regarding Getinge’s business strategy, please see the company’s annual reports and the website </w:t>
      </w:r>
      <w:r w:rsidRPr="00FF74AE">
        <w:rPr>
          <w:color w:val="585756"/>
        </w:rPr>
        <w:t>(https://www.getinge.com).</w:t>
      </w:r>
    </w:p>
    <w:p w:rsidR="001E7748" w:rsidRDefault="001E7748">
      <w:pPr>
        <w:pStyle w:val="BodyText"/>
        <w:spacing w:before="3"/>
        <w:rPr>
          <w:sz w:val="29"/>
        </w:rPr>
      </w:pPr>
    </w:p>
    <w:p w:rsidR="001E7748" w:rsidRDefault="00041A34" w:rsidP="009F159F">
      <w:pPr>
        <w:pStyle w:val="Heading1"/>
        <w:numPr>
          <w:ilvl w:val="0"/>
          <w:numId w:val="1"/>
        </w:numPr>
        <w:tabs>
          <w:tab w:val="left" w:pos="821"/>
          <w:tab w:val="left" w:pos="822"/>
        </w:tabs>
      </w:pPr>
      <w:r>
        <w:rPr>
          <w:color w:val="172749"/>
        </w:rPr>
        <w:t>Principles for various types of remuneration,</w:t>
      </w:r>
      <w:r>
        <w:rPr>
          <w:color w:val="172749"/>
          <w:spacing w:val="-8"/>
        </w:rPr>
        <w:t xml:space="preserve"> </w:t>
      </w:r>
      <w:r>
        <w:rPr>
          <w:color w:val="172749"/>
        </w:rPr>
        <w:t>etc.</w:t>
      </w:r>
    </w:p>
    <w:p w:rsidR="001E7748" w:rsidRDefault="00041A34">
      <w:pPr>
        <w:pStyle w:val="BodyText"/>
        <w:spacing w:before="205" w:line="290" w:lineRule="auto"/>
        <w:ind w:left="102" w:right="948"/>
      </w:pPr>
      <w:r>
        <w:rPr>
          <w:color w:val="585756"/>
        </w:rPr>
        <w:t>The total remuneration to Senior Executives shall be in line with market</w:t>
      </w:r>
      <w:r w:rsidR="00F75A6D">
        <w:rPr>
          <w:color w:val="585756"/>
        </w:rPr>
        <w:t xml:space="preserve"> terms</w:t>
      </w:r>
      <w:r>
        <w:rPr>
          <w:color w:val="585756"/>
        </w:rPr>
        <w:t xml:space="preserve"> and consist of base salary (fixed cash remuneration), variable cash remuneration, pension benefits and other benefits. In addition, the General Meeting may – irrespective of these guidelines – resolve on, for instance, share- or share price-related remunerations.</w:t>
      </w:r>
    </w:p>
    <w:p w:rsidR="001E7748" w:rsidRDefault="00041A34">
      <w:pPr>
        <w:pStyle w:val="Heading2"/>
        <w:spacing w:before="166"/>
      </w:pPr>
      <w:r>
        <w:rPr>
          <w:color w:val="585756"/>
        </w:rPr>
        <w:t>Fixed remuneration</w:t>
      </w:r>
    </w:p>
    <w:p w:rsidR="001E7748" w:rsidRDefault="00041A34">
      <w:pPr>
        <w:pStyle w:val="BodyText"/>
        <w:spacing w:before="51" w:line="290" w:lineRule="auto"/>
        <w:ind w:left="102" w:right="599"/>
      </w:pPr>
      <w:r>
        <w:rPr>
          <w:color w:val="585756"/>
        </w:rPr>
        <w:t xml:space="preserve">The fixed remuneration, meaning the base salary, </w:t>
      </w:r>
      <w:proofErr w:type="gramStart"/>
      <w:r>
        <w:rPr>
          <w:color w:val="585756"/>
        </w:rPr>
        <w:t>shall be based</w:t>
      </w:r>
      <w:proofErr w:type="gramEnd"/>
      <w:r>
        <w:rPr>
          <w:color w:val="585756"/>
        </w:rPr>
        <w:t xml:space="preserve"> on the individual employee’s area of responsibility, </w:t>
      </w:r>
      <w:r w:rsidR="00F37CE3">
        <w:rPr>
          <w:color w:val="585756"/>
        </w:rPr>
        <w:t>authority</w:t>
      </w:r>
      <w:r>
        <w:rPr>
          <w:color w:val="585756"/>
        </w:rPr>
        <w:t>, competence, experience and performance.</w:t>
      </w:r>
    </w:p>
    <w:p w:rsidR="001E7748" w:rsidRDefault="001E7748">
      <w:pPr>
        <w:spacing w:line="290" w:lineRule="auto"/>
        <w:sectPr w:rsidR="001E7748">
          <w:type w:val="continuous"/>
          <w:pgSz w:w="11900" w:h="16850"/>
          <w:pgMar w:top="800" w:right="680" w:bottom="280" w:left="1600" w:header="720" w:footer="720" w:gutter="0"/>
          <w:cols w:space="720"/>
        </w:sectPr>
      </w:pPr>
    </w:p>
    <w:p w:rsidR="001E7748" w:rsidRDefault="00041A34">
      <w:pPr>
        <w:pStyle w:val="Heading2"/>
      </w:pPr>
      <w:r>
        <w:rPr>
          <w:color w:val="585756"/>
        </w:rPr>
        <w:lastRenderedPageBreak/>
        <w:t>Variable remuneration</w:t>
      </w:r>
    </w:p>
    <w:p w:rsidR="001E7748" w:rsidRDefault="00041A34">
      <w:pPr>
        <w:pStyle w:val="BodyText"/>
        <w:spacing w:before="48" w:line="292" w:lineRule="auto"/>
        <w:ind w:left="102" w:right="804"/>
      </w:pPr>
      <w:r>
        <w:rPr>
          <w:color w:val="585756"/>
        </w:rPr>
        <w:t xml:space="preserve">The allocation between base salary and variable remuneration shall be in proportion with the area of responsibility and </w:t>
      </w:r>
      <w:r w:rsidR="00F37CE3">
        <w:rPr>
          <w:color w:val="585756"/>
        </w:rPr>
        <w:t xml:space="preserve">authority </w:t>
      </w:r>
      <w:r>
        <w:rPr>
          <w:color w:val="585756"/>
        </w:rPr>
        <w:t>of the executive. The variable remuneration shall always be pre</w:t>
      </w:r>
      <w:r w:rsidR="007C6AF7">
        <w:rPr>
          <w:color w:val="585756"/>
        </w:rPr>
        <w:t>-</w:t>
      </w:r>
      <w:r w:rsidR="00F37CE3">
        <w:rPr>
          <w:color w:val="585756"/>
        </w:rPr>
        <w:t>l</w:t>
      </w:r>
      <w:r>
        <w:rPr>
          <w:color w:val="585756"/>
        </w:rPr>
        <w:t xml:space="preserve">imited to a maximum amount and </w:t>
      </w:r>
      <w:r w:rsidR="00BB3DBD">
        <w:rPr>
          <w:color w:val="585756"/>
        </w:rPr>
        <w:t>related</w:t>
      </w:r>
      <w:r>
        <w:rPr>
          <w:color w:val="585756"/>
        </w:rPr>
        <w:t xml:space="preserve"> to predetermined and measurable </w:t>
      </w:r>
      <w:r w:rsidR="00F37CE3">
        <w:rPr>
          <w:color w:val="585756"/>
        </w:rPr>
        <w:t>criteria</w:t>
      </w:r>
      <w:r>
        <w:rPr>
          <w:color w:val="585756"/>
        </w:rPr>
        <w:t xml:space="preserve">, designed to contribute to the business strategy and long-term </w:t>
      </w:r>
      <w:proofErr w:type="gramStart"/>
      <w:r>
        <w:rPr>
          <w:color w:val="585756"/>
        </w:rPr>
        <w:t>added value</w:t>
      </w:r>
      <w:proofErr w:type="gramEnd"/>
      <w:r>
        <w:rPr>
          <w:color w:val="585756"/>
        </w:rPr>
        <w:t xml:space="preserve"> of the company.</w:t>
      </w:r>
    </w:p>
    <w:p w:rsidR="001E7748" w:rsidRDefault="00041A34">
      <w:pPr>
        <w:pStyle w:val="BodyText"/>
        <w:spacing w:before="160" w:line="292" w:lineRule="auto"/>
        <w:ind w:left="102" w:right="726"/>
      </w:pPr>
      <w:r>
        <w:rPr>
          <w:color w:val="585756"/>
        </w:rPr>
        <w:t xml:space="preserve">The sustainability work </w:t>
      </w:r>
      <w:proofErr w:type="gramStart"/>
      <w:r>
        <w:rPr>
          <w:color w:val="585756"/>
        </w:rPr>
        <w:t>is integrated</w:t>
      </w:r>
      <w:proofErr w:type="gramEnd"/>
      <w:r>
        <w:rPr>
          <w:color w:val="585756"/>
        </w:rPr>
        <w:t xml:space="preserve"> in the company’s day-to-day operations. If the company’s principles for sustainability or ethical guidelines </w:t>
      </w:r>
      <w:proofErr w:type="gramStart"/>
      <w:r>
        <w:rPr>
          <w:color w:val="585756"/>
        </w:rPr>
        <w:t>are not complied</w:t>
      </w:r>
      <w:proofErr w:type="gramEnd"/>
      <w:r>
        <w:rPr>
          <w:color w:val="585756"/>
        </w:rPr>
        <w:t xml:space="preserve"> with, the company has the possibility to withhold any variable remuneration or reclaim already </w:t>
      </w:r>
      <w:r w:rsidR="002674E6">
        <w:rPr>
          <w:color w:val="585756"/>
        </w:rPr>
        <w:t>awarded</w:t>
      </w:r>
      <w:r>
        <w:rPr>
          <w:color w:val="585756"/>
        </w:rPr>
        <w:t xml:space="preserve"> remuneration. The </w:t>
      </w:r>
      <w:r w:rsidR="00F37CE3">
        <w:rPr>
          <w:color w:val="585756"/>
        </w:rPr>
        <w:t xml:space="preserve">annual </w:t>
      </w:r>
      <w:r>
        <w:rPr>
          <w:color w:val="585756"/>
        </w:rPr>
        <w:t xml:space="preserve">variable remuneration </w:t>
      </w:r>
      <w:proofErr w:type="gramStart"/>
      <w:r>
        <w:rPr>
          <w:color w:val="585756"/>
        </w:rPr>
        <w:t>is designed</w:t>
      </w:r>
      <w:proofErr w:type="gramEnd"/>
      <w:r>
        <w:rPr>
          <w:color w:val="585756"/>
        </w:rPr>
        <w:t xml:space="preserve"> to promote the company’s strategy to produce and offer products that </w:t>
      </w:r>
      <w:r w:rsidR="00F37CE3">
        <w:rPr>
          <w:color w:val="585756"/>
        </w:rPr>
        <w:t>can support in making</w:t>
      </w:r>
      <w:r>
        <w:rPr>
          <w:color w:val="585756"/>
        </w:rPr>
        <w:t xml:space="preserve"> </w:t>
      </w:r>
      <w:r w:rsidR="00F37CE3">
        <w:rPr>
          <w:color w:val="585756"/>
        </w:rPr>
        <w:t xml:space="preserve">health </w:t>
      </w:r>
      <w:r>
        <w:rPr>
          <w:color w:val="585756"/>
        </w:rPr>
        <w:t xml:space="preserve">care more efficient </w:t>
      </w:r>
      <w:r w:rsidR="00F37CE3">
        <w:rPr>
          <w:color w:val="585756"/>
        </w:rPr>
        <w:t xml:space="preserve">in the long-term </w:t>
      </w:r>
      <w:r>
        <w:rPr>
          <w:color w:val="585756"/>
        </w:rPr>
        <w:t xml:space="preserve">and to provide better </w:t>
      </w:r>
      <w:r w:rsidR="00F37CE3">
        <w:rPr>
          <w:color w:val="585756"/>
        </w:rPr>
        <w:t>health</w:t>
      </w:r>
      <w:r>
        <w:rPr>
          <w:color w:val="585756"/>
        </w:rPr>
        <w:t xml:space="preserve"> care for the people who </w:t>
      </w:r>
      <w:r w:rsidR="00F37CE3">
        <w:rPr>
          <w:color w:val="585756"/>
        </w:rPr>
        <w:t>need</w:t>
      </w:r>
      <w:r>
        <w:rPr>
          <w:color w:val="585756"/>
        </w:rPr>
        <w:t xml:space="preserve"> Getinge’s products. If the above-mentioned activities </w:t>
      </w:r>
      <w:proofErr w:type="gramStart"/>
      <w:r>
        <w:rPr>
          <w:color w:val="585756"/>
        </w:rPr>
        <w:t>are performed</w:t>
      </w:r>
      <w:proofErr w:type="gramEnd"/>
      <w:r>
        <w:rPr>
          <w:color w:val="585756"/>
        </w:rPr>
        <w:t xml:space="preserve"> in an efficient and sustainable </w:t>
      </w:r>
      <w:r w:rsidR="00146A8A">
        <w:rPr>
          <w:color w:val="585756"/>
        </w:rPr>
        <w:t>way</w:t>
      </w:r>
      <w:r>
        <w:rPr>
          <w:color w:val="585756"/>
        </w:rPr>
        <w:t xml:space="preserve">, one </w:t>
      </w:r>
      <w:r w:rsidR="00146A8A">
        <w:rPr>
          <w:color w:val="585756"/>
        </w:rPr>
        <w:t>outcome</w:t>
      </w:r>
      <w:r>
        <w:rPr>
          <w:color w:val="585756"/>
        </w:rPr>
        <w:t xml:space="preserve"> is improved financial results and increased capital efficiency, which constitutes the foundation of the variable remuneration.</w:t>
      </w:r>
    </w:p>
    <w:p w:rsidR="001E7748" w:rsidRDefault="00041A34">
      <w:pPr>
        <w:spacing w:before="156"/>
        <w:ind w:left="102"/>
        <w:rPr>
          <w:i/>
          <w:sz w:val="20"/>
        </w:rPr>
      </w:pPr>
      <w:r>
        <w:rPr>
          <w:i/>
          <w:color w:val="585756"/>
          <w:sz w:val="20"/>
        </w:rPr>
        <w:t>Annual variable remuneration</w:t>
      </w:r>
    </w:p>
    <w:p w:rsidR="001E7748" w:rsidRDefault="00041A34">
      <w:pPr>
        <w:pStyle w:val="BodyText"/>
        <w:spacing w:before="48" w:line="292" w:lineRule="auto"/>
        <w:ind w:left="102" w:right="782"/>
      </w:pPr>
      <w:r>
        <w:rPr>
          <w:color w:val="585756"/>
        </w:rPr>
        <w:t xml:space="preserve">For Senior Executives, the annual variable remuneration (annual bonus) shall be </w:t>
      </w:r>
      <w:r w:rsidR="00BB3DBD">
        <w:rPr>
          <w:color w:val="585756"/>
        </w:rPr>
        <w:t>capped at</w:t>
      </w:r>
      <w:r w:rsidR="00146A8A">
        <w:rPr>
          <w:color w:val="585756"/>
        </w:rPr>
        <w:t xml:space="preserve"> </w:t>
      </w:r>
      <w:r>
        <w:rPr>
          <w:color w:val="585756"/>
        </w:rPr>
        <w:t>70</w:t>
      </w:r>
      <w:r w:rsidR="00146A8A">
        <w:rPr>
          <w:color w:val="585756"/>
        </w:rPr>
        <w:t> </w:t>
      </w:r>
      <w:r>
        <w:rPr>
          <w:color w:val="585756"/>
        </w:rPr>
        <w:t xml:space="preserve">% and, in specific cases, were the nature of the position, the competitive situation and the country of employment so require, </w:t>
      </w:r>
      <w:r w:rsidR="003860CA">
        <w:rPr>
          <w:color w:val="585756"/>
        </w:rPr>
        <w:t xml:space="preserve">capped at </w:t>
      </w:r>
      <w:r>
        <w:rPr>
          <w:color w:val="585756"/>
        </w:rPr>
        <w:t xml:space="preserve"> 90 % of the fixed </w:t>
      </w:r>
      <w:r w:rsidR="00146A8A">
        <w:rPr>
          <w:color w:val="585756"/>
        </w:rPr>
        <w:t>annual</w:t>
      </w:r>
      <w:r>
        <w:rPr>
          <w:color w:val="585756"/>
        </w:rPr>
        <w:t xml:space="preserve"> base salary. The variable remuneration </w:t>
      </w:r>
      <w:proofErr w:type="gramStart"/>
      <w:r>
        <w:rPr>
          <w:color w:val="585756"/>
        </w:rPr>
        <w:t>shall be based</w:t>
      </w:r>
      <w:proofErr w:type="gramEnd"/>
      <w:r>
        <w:rPr>
          <w:color w:val="585756"/>
        </w:rPr>
        <w:t xml:space="preserve"> on objectives </w:t>
      </w:r>
      <w:r w:rsidR="00BB3DBD">
        <w:rPr>
          <w:color w:val="585756"/>
        </w:rPr>
        <w:t>set</w:t>
      </w:r>
      <w:r w:rsidR="00146A8A">
        <w:rPr>
          <w:color w:val="585756"/>
        </w:rPr>
        <w:t xml:space="preserve"> </w:t>
      </w:r>
      <w:r>
        <w:rPr>
          <w:color w:val="585756"/>
        </w:rPr>
        <w:t xml:space="preserve">by the Board of Directors. These objectives </w:t>
      </w:r>
      <w:proofErr w:type="gramStart"/>
      <w:r>
        <w:rPr>
          <w:color w:val="585756"/>
        </w:rPr>
        <w:t xml:space="preserve">are </w:t>
      </w:r>
      <w:r w:rsidR="003860CA">
        <w:rPr>
          <w:color w:val="585756"/>
        </w:rPr>
        <w:t>related</w:t>
      </w:r>
      <w:proofErr w:type="gramEnd"/>
      <w:r w:rsidR="003860CA">
        <w:rPr>
          <w:color w:val="585756"/>
        </w:rPr>
        <w:t xml:space="preserve"> </w:t>
      </w:r>
      <w:r>
        <w:rPr>
          <w:color w:val="585756"/>
        </w:rPr>
        <w:t xml:space="preserve">to </w:t>
      </w:r>
      <w:r w:rsidR="00966F67">
        <w:rPr>
          <w:color w:val="585756"/>
        </w:rPr>
        <w:t xml:space="preserve">(i) </w:t>
      </w:r>
      <w:r>
        <w:rPr>
          <w:color w:val="585756"/>
        </w:rPr>
        <w:t xml:space="preserve">earnings, </w:t>
      </w:r>
      <w:r w:rsidR="00966F67">
        <w:rPr>
          <w:color w:val="585756"/>
        </w:rPr>
        <w:t xml:space="preserve">(ii) </w:t>
      </w:r>
      <w:r>
        <w:rPr>
          <w:color w:val="585756"/>
        </w:rPr>
        <w:t xml:space="preserve">organic growth, </w:t>
      </w:r>
      <w:r w:rsidR="00966F67">
        <w:rPr>
          <w:color w:val="585756"/>
        </w:rPr>
        <w:t xml:space="preserve">(iii) </w:t>
      </w:r>
      <w:r>
        <w:rPr>
          <w:color w:val="585756"/>
        </w:rPr>
        <w:t>working capital and cash flow. In order to promote the interest of the shareholders’, the company’s values and collectively strive to achieve the business strategy, long-term interests and sustainable development of the company, all members of the group management have the same targets for annual variable remuneration.</w:t>
      </w:r>
    </w:p>
    <w:p w:rsidR="001E7748" w:rsidRDefault="00041A34">
      <w:pPr>
        <w:spacing w:before="156"/>
        <w:ind w:left="102"/>
        <w:rPr>
          <w:i/>
          <w:sz w:val="20"/>
        </w:rPr>
      </w:pPr>
      <w:r>
        <w:rPr>
          <w:i/>
          <w:color w:val="585756"/>
          <w:sz w:val="20"/>
        </w:rPr>
        <w:t>Variable long-term cash bonus (LTI-bonus)</w:t>
      </w:r>
    </w:p>
    <w:p w:rsidR="00966F67" w:rsidRPr="009F159F" w:rsidRDefault="00041A34">
      <w:pPr>
        <w:pStyle w:val="BodyText"/>
        <w:spacing w:before="51" w:line="292" w:lineRule="auto"/>
        <w:ind w:left="102" w:right="771"/>
        <w:rPr>
          <w:color w:val="585756"/>
        </w:rPr>
      </w:pPr>
      <w:r>
        <w:rPr>
          <w:color w:val="585756"/>
        </w:rPr>
        <w:t xml:space="preserve">In </w:t>
      </w:r>
      <w:r w:rsidR="000D2D98">
        <w:rPr>
          <w:color w:val="585756"/>
        </w:rPr>
        <w:t xml:space="preserve">addition to base salary and </w:t>
      </w:r>
      <w:r>
        <w:rPr>
          <w:color w:val="585756"/>
        </w:rPr>
        <w:t xml:space="preserve">annual variable remuneration </w:t>
      </w:r>
      <w:r w:rsidR="000D2D98">
        <w:rPr>
          <w:color w:val="585756"/>
        </w:rPr>
        <w:t xml:space="preserve">as </w:t>
      </w:r>
      <w:r>
        <w:rPr>
          <w:color w:val="585756"/>
        </w:rPr>
        <w:t xml:space="preserve">described above, Senior Executives can </w:t>
      </w:r>
      <w:r w:rsidR="00BB3DBD">
        <w:rPr>
          <w:color w:val="585756"/>
        </w:rPr>
        <w:t>obtain</w:t>
      </w:r>
      <w:r>
        <w:rPr>
          <w:color w:val="585756"/>
        </w:rPr>
        <w:t xml:space="preserve"> a variable long-term bonus (LTI-bonus), </w:t>
      </w:r>
      <w:r w:rsidR="00BB3DBD">
        <w:rPr>
          <w:color w:val="585756"/>
        </w:rPr>
        <w:t>which rewards</w:t>
      </w:r>
      <w:r>
        <w:rPr>
          <w:color w:val="585756"/>
        </w:rPr>
        <w:t xml:space="preserve"> clear, measurable performance targets and is conditioned by continued employment at the end of the </w:t>
      </w:r>
      <w:r w:rsidR="00B736A3">
        <w:rPr>
          <w:color w:val="585756"/>
        </w:rPr>
        <w:t>vesting</w:t>
      </w:r>
      <w:r>
        <w:rPr>
          <w:color w:val="585756"/>
        </w:rPr>
        <w:t xml:space="preserve"> period for the LTI-bonus (with some customary exceptions). The criteria for payment of the LTI- bonus </w:t>
      </w:r>
      <w:proofErr w:type="gramStart"/>
      <w:r>
        <w:rPr>
          <w:color w:val="585756"/>
        </w:rPr>
        <w:t>shall be constructed</w:t>
      </w:r>
      <w:proofErr w:type="gramEnd"/>
      <w:r>
        <w:rPr>
          <w:color w:val="585756"/>
        </w:rPr>
        <w:t xml:space="preserve"> to promote the long-term interests and sustainable development of Getinge by a clear connection to the business strategy. The </w:t>
      </w:r>
      <w:r w:rsidR="00BB3DBD">
        <w:rPr>
          <w:color w:val="585756"/>
        </w:rPr>
        <w:t>criteria</w:t>
      </w:r>
      <w:r>
        <w:rPr>
          <w:color w:val="585756"/>
        </w:rPr>
        <w:t xml:space="preserve"> for the LTI-bonus </w:t>
      </w:r>
      <w:proofErr w:type="gramStart"/>
      <w:r w:rsidR="003860CA">
        <w:rPr>
          <w:color w:val="585756"/>
        </w:rPr>
        <w:t xml:space="preserve">is </w:t>
      </w:r>
      <w:r>
        <w:rPr>
          <w:color w:val="585756"/>
        </w:rPr>
        <w:t>connected</w:t>
      </w:r>
      <w:proofErr w:type="gramEnd"/>
      <w:r>
        <w:rPr>
          <w:color w:val="585756"/>
        </w:rPr>
        <w:t xml:space="preserve"> to earnings per share, adjusted in accordance with any acquisitions, </w:t>
      </w:r>
      <w:r w:rsidR="00966F67">
        <w:rPr>
          <w:color w:val="585756"/>
        </w:rPr>
        <w:t>divestments, restructuring costs and</w:t>
      </w:r>
      <w:r w:rsidR="00BB3DBD">
        <w:rPr>
          <w:color w:val="585756"/>
        </w:rPr>
        <w:t>/or</w:t>
      </w:r>
      <w:r>
        <w:rPr>
          <w:color w:val="585756"/>
        </w:rPr>
        <w:t xml:space="preserve"> other material non-recurrent </w:t>
      </w:r>
      <w:r w:rsidR="00966F67">
        <w:rPr>
          <w:color w:val="585756"/>
        </w:rPr>
        <w:t>items</w:t>
      </w:r>
      <w:r>
        <w:rPr>
          <w:color w:val="585756"/>
        </w:rPr>
        <w:t xml:space="preserve">. By connecting the </w:t>
      </w:r>
      <w:r w:rsidR="00966F67">
        <w:rPr>
          <w:color w:val="585756"/>
        </w:rPr>
        <w:t xml:space="preserve">performance </w:t>
      </w:r>
      <w:r>
        <w:rPr>
          <w:color w:val="585756"/>
        </w:rPr>
        <w:t>target to the shareholders’</w:t>
      </w:r>
      <w:r w:rsidR="00B736A3">
        <w:rPr>
          <w:color w:val="585756"/>
        </w:rPr>
        <w:t xml:space="preserve"> objective</w:t>
      </w:r>
      <w:r>
        <w:rPr>
          <w:color w:val="585756"/>
        </w:rPr>
        <w:t xml:space="preserve">, a </w:t>
      </w:r>
      <w:r w:rsidR="00BB3DBD">
        <w:rPr>
          <w:color w:val="585756"/>
        </w:rPr>
        <w:t>common</w:t>
      </w:r>
      <w:r>
        <w:rPr>
          <w:color w:val="585756"/>
        </w:rPr>
        <w:t xml:space="preserve"> interest to prom</w:t>
      </w:r>
      <w:r w:rsidR="00966F67">
        <w:rPr>
          <w:color w:val="585756"/>
        </w:rPr>
        <w:t xml:space="preserve">ote Getinge’s business strategy, </w:t>
      </w:r>
      <w:r>
        <w:rPr>
          <w:color w:val="585756"/>
        </w:rPr>
        <w:t xml:space="preserve">long-term interests </w:t>
      </w:r>
      <w:r w:rsidR="00966F67">
        <w:rPr>
          <w:color w:val="585756"/>
        </w:rPr>
        <w:t xml:space="preserve">and </w:t>
      </w:r>
      <w:r w:rsidR="00966F67" w:rsidRPr="00B736A3">
        <w:rPr>
          <w:color w:val="585756"/>
        </w:rPr>
        <w:t xml:space="preserve">value </w:t>
      </w:r>
      <w:r w:rsidR="003860CA">
        <w:rPr>
          <w:color w:val="585756"/>
        </w:rPr>
        <w:t xml:space="preserve">creation </w:t>
      </w:r>
      <w:proofErr w:type="gramStart"/>
      <w:r w:rsidRPr="00B736A3">
        <w:rPr>
          <w:color w:val="585756"/>
        </w:rPr>
        <w:t>is created</w:t>
      </w:r>
      <w:proofErr w:type="gramEnd"/>
      <w:r>
        <w:rPr>
          <w:color w:val="585756"/>
        </w:rPr>
        <w:t xml:space="preserve">. </w:t>
      </w:r>
    </w:p>
    <w:p w:rsidR="00B736A3" w:rsidRDefault="00B736A3">
      <w:pPr>
        <w:pStyle w:val="BodyText"/>
        <w:spacing w:before="51" w:line="292" w:lineRule="auto"/>
        <w:ind w:left="102" w:right="771"/>
        <w:rPr>
          <w:color w:val="585756"/>
        </w:rPr>
      </w:pPr>
    </w:p>
    <w:p w:rsidR="001E7748" w:rsidRDefault="00041A34">
      <w:pPr>
        <w:pStyle w:val="BodyText"/>
        <w:spacing w:before="51" w:line="292" w:lineRule="auto"/>
        <w:ind w:left="102" w:right="771"/>
      </w:pPr>
      <w:r>
        <w:rPr>
          <w:color w:val="585756"/>
        </w:rPr>
        <w:t xml:space="preserve">The </w:t>
      </w:r>
      <w:r w:rsidR="00B736A3">
        <w:rPr>
          <w:color w:val="585756"/>
        </w:rPr>
        <w:t xml:space="preserve">vesting </w:t>
      </w:r>
      <w:r>
        <w:rPr>
          <w:color w:val="585756"/>
        </w:rPr>
        <w:t>period for the LTI-bonus shall be no</w:t>
      </w:r>
      <w:r w:rsidR="003860CA">
        <w:rPr>
          <w:color w:val="585756"/>
        </w:rPr>
        <w:t>t</w:t>
      </w:r>
      <w:r>
        <w:rPr>
          <w:color w:val="585756"/>
        </w:rPr>
        <w:t xml:space="preserve"> less than three financial years</w:t>
      </w:r>
      <w:r w:rsidR="00966F67">
        <w:rPr>
          <w:color w:val="585756"/>
        </w:rPr>
        <w:t xml:space="preserve">. </w:t>
      </w:r>
      <w:r w:rsidR="00B736A3">
        <w:rPr>
          <w:color w:val="585756"/>
        </w:rPr>
        <w:t xml:space="preserve">The payment of LTI-bonus in a program </w:t>
      </w:r>
      <w:proofErr w:type="gramStart"/>
      <w:r w:rsidR="00B736A3">
        <w:rPr>
          <w:color w:val="585756"/>
        </w:rPr>
        <w:t xml:space="preserve">shall, during a three-year period, </w:t>
      </w:r>
      <w:r w:rsidR="003860CA">
        <w:rPr>
          <w:color w:val="585756"/>
        </w:rPr>
        <w:t>be capped</w:t>
      </w:r>
      <w:proofErr w:type="gramEnd"/>
      <w:r w:rsidR="003860CA">
        <w:rPr>
          <w:color w:val="585756"/>
        </w:rPr>
        <w:t xml:space="preserve"> to </w:t>
      </w:r>
      <w:r w:rsidR="00B736A3">
        <w:rPr>
          <w:color w:val="585756"/>
        </w:rPr>
        <w:t>an amount corresponding to one year’s</w:t>
      </w:r>
      <w:r w:rsidR="003860CA">
        <w:rPr>
          <w:color w:val="585756"/>
        </w:rPr>
        <w:t xml:space="preserve"> base</w:t>
      </w:r>
      <w:r w:rsidR="00B736A3">
        <w:rPr>
          <w:color w:val="585756"/>
        </w:rPr>
        <w:t xml:space="preserve"> salary. </w:t>
      </w:r>
      <w:r w:rsidR="00966F67">
        <w:rPr>
          <w:color w:val="585756"/>
        </w:rPr>
        <w:t xml:space="preserve">A new LTI-bonus program </w:t>
      </w:r>
      <w:r w:rsidR="00BF2C12">
        <w:rPr>
          <w:color w:val="585756"/>
        </w:rPr>
        <w:t>can be</w:t>
      </w:r>
      <w:r w:rsidR="00966F67">
        <w:rPr>
          <w:color w:val="585756"/>
        </w:rPr>
        <w:t xml:space="preserve"> </w:t>
      </w:r>
      <w:r w:rsidR="00966F67" w:rsidRPr="00BF2C12">
        <w:rPr>
          <w:color w:val="585756"/>
        </w:rPr>
        <w:t>set up</w:t>
      </w:r>
      <w:r w:rsidR="00C65BD9">
        <w:rPr>
          <w:color w:val="585756"/>
        </w:rPr>
        <w:t xml:space="preserve"> </w:t>
      </w:r>
      <w:r w:rsidR="00BF2C12">
        <w:rPr>
          <w:color w:val="585756"/>
        </w:rPr>
        <w:t>every year</w:t>
      </w:r>
      <w:r w:rsidR="00C65BD9">
        <w:rPr>
          <w:color w:val="585756"/>
        </w:rPr>
        <w:t xml:space="preserve"> </w:t>
      </w:r>
      <w:r w:rsidR="00BF2C12">
        <w:rPr>
          <w:color w:val="585756"/>
        </w:rPr>
        <w:t>with</w:t>
      </w:r>
      <w:r w:rsidR="00C65BD9">
        <w:rPr>
          <w:color w:val="585756"/>
        </w:rPr>
        <w:t xml:space="preserve"> a </w:t>
      </w:r>
      <w:r w:rsidR="00BF2C12">
        <w:rPr>
          <w:color w:val="585756"/>
        </w:rPr>
        <w:t>duration period</w:t>
      </w:r>
      <w:r w:rsidR="00C65BD9">
        <w:rPr>
          <w:color w:val="585756"/>
        </w:rPr>
        <w:t xml:space="preserve"> of three years.</w:t>
      </w:r>
      <w:r w:rsidR="00966F67">
        <w:rPr>
          <w:color w:val="585756"/>
        </w:rPr>
        <w:t xml:space="preserve"> </w:t>
      </w:r>
      <w:r>
        <w:rPr>
          <w:color w:val="585756"/>
        </w:rPr>
        <w:t>Senior Executive</w:t>
      </w:r>
      <w:r w:rsidR="00BF2C12">
        <w:rPr>
          <w:color w:val="585756"/>
        </w:rPr>
        <w:t>s</w:t>
      </w:r>
      <w:r>
        <w:rPr>
          <w:color w:val="585756"/>
        </w:rPr>
        <w:t xml:space="preserve"> of the group management shall invest </w:t>
      </w:r>
      <w:r w:rsidR="00BF2C12">
        <w:rPr>
          <w:color w:val="585756"/>
        </w:rPr>
        <w:t>no</w:t>
      </w:r>
      <w:r w:rsidR="003860CA">
        <w:rPr>
          <w:color w:val="585756"/>
        </w:rPr>
        <w:t>t</w:t>
      </w:r>
      <w:r w:rsidR="00BF2C12">
        <w:rPr>
          <w:color w:val="585756"/>
        </w:rPr>
        <w:t xml:space="preserve"> less than</w:t>
      </w:r>
      <w:r>
        <w:rPr>
          <w:color w:val="585756"/>
        </w:rPr>
        <w:t xml:space="preserve"> 50 % of the </w:t>
      </w:r>
      <w:r w:rsidR="00BF2C12">
        <w:rPr>
          <w:color w:val="585756"/>
        </w:rPr>
        <w:t>received LTI-bonus</w:t>
      </w:r>
      <w:r>
        <w:rPr>
          <w:color w:val="585756"/>
        </w:rPr>
        <w:t xml:space="preserve"> (net, after taxes paid) in Getinge shares, </w:t>
      </w:r>
      <w:r w:rsidR="00BF2C12">
        <w:rPr>
          <w:color w:val="585756"/>
        </w:rPr>
        <w:t xml:space="preserve">until the Senior Executive’s own </w:t>
      </w:r>
      <w:r w:rsidR="00C110BE">
        <w:rPr>
          <w:color w:val="585756"/>
        </w:rPr>
        <w:t xml:space="preserve">total </w:t>
      </w:r>
      <w:r w:rsidR="003838FF">
        <w:rPr>
          <w:color w:val="585756"/>
        </w:rPr>
        <w:t>holding</w:t>
      </w:r>
      <w:r w:rsidR="00C110BE">
        <w:rPr>
          <w:color w:val="585756"/>
        </w:rPr>
        <w:t>s</w:t>
      </w:r>
      <w:r w:rsidR="003838FF">
        <w:rPr>
          <w:color w:val="585756"/>
        </w:rPr>
        <w:t xml:space="preserve"> of </w:t>
      </w:r>
      <w:r w:rsidR="00BF2C12">
        <w:rPr>
          <w:color w:val="585756"/>
        </w:rPr>
        <w:t>share</w:t>
      </w:r>
      <w:r w:rsidR="003838FF">
        <w:rPr>
          <w:color w:val="585756"/>
        </w:rPr>
        <w:t>s</w:t>
      </w:r>
      <w:r w:rsidR="00BF2C12">
        <w:rPr>
          <w:color w:val="585756"/>
        </w:rPr>
        <w:t xml:space="preserve"> correspond </w:t>
      </w:r>
      <w:r>
        <w:rPr>
          <w:color w:val="585756"/>
        </w:rPr>
        <w:t>to one year’s salary (gross). The Senior Executive shall keep the</w:t>
      </w:r>
      <w:r w:rsidR="00BF2C12">
        <w:rPr>
          <w:color w:val="585756"/>
        </w:rPr>
        <w:t>se</w:t>
      </w:r>
      <w:r>
        <w:rPr>
          <w:color w:val="585756"/>
        </w:rPr>
        <w:t xml:space="preserve"> shares for at least three years.</w:t>
      </w:r>
    </w:p>
    <w:p w:rsidR="001E7748" w:rsidRDefault="00041A34">
      <w:pPr>
        <w:spacing w:before="150"/>
        <w:ind w:left="102"/>
        <w:rPr>
          <w:i/>
          <w:sz w:val="20"/>
        </w:rPr>
      </w:pPr>
      <w:r>
        <w:rPr>
          <w:i/>
          <w:color w:val="585756"/>
          <w:sz w:val="20"/>
        </w:rPr>
        <w:t xml:space="preserve">Determination of </w:t>
      </w:r>
      <w:r w:rsidR="003838FF">
        <w:rPr>
          <w:i/>
          <w:color w:val="585756"/>
          <w:sz w:val="20"/>
        </w:rPr>
        <w:t>result</w:t>
      </w:r>
      <w:r>
        <w:rPr>
          <w:i/>
          <w:color w:val="585756"/>
          <w:sz w:val="20"/>
        </w:rPr>
        <w:t xml:space="preserve"> </w:t>
      </w:r>
      <w:r w:rsidR="003838FF">
        <w:rPr>
          <w:i/>
          <w:color w:val="585756"/>
          <w:sz w:val="20"/>
        </w:rPr>
        <w:t>for</w:t>
      </w:r>
      <w:r>
        <w:rPr>
          <w:i/>
          <w:color w:val="585756"/>
          <w:sz w:val="20"/>
        </w:rPr>
        <w:t xml:space="preserve"> variable remuneration, etc.</w:t>
      </w:r>
    </w:p>
    <w:p w:rsidR="003838FF" w:rsidRDefault="003838FF">
      <w:pPr>
        <w:pStyle w:val="BodyText"/>
        <w:spacing w:line="292" w:lineRule="auto"/>
        <w:ind w:left="102" w:right="838"/>
        <w:rPr>
          <w:color w:val="585756"/>
        </w:rPr>
      </w:pPr>
    </w:p>
    <w:p w:rsidR="001E7748" w:rsidRPr="009F159F" w:rsidRDefault="003838FF" w:rsidP="003838FF">
      <w:pPr>
        <w:pStyle w:val="BodyText"/>
        <w:spacing w:line="292" w:lineRule="auto"/>
        <w:ind w:left="102" w:right="838"/>
        <w:rPr>
          <w:color w:val="585756"/>
        </w:rPr>
      </w:pPr>
      <w:r>
        <w:rPr>
          <w:color w:val="585756"/>
        </w:rPr>
        <w:t xml:space="preserve">When </w:t>
      </w:r>
      <w:r w:rsidR="00041A34">
        <w:rPr>
          <w:color w:val="585756"/>
        </w:rPr>
        <w:t xml:space="preserve">the </w:t>
      </w:r>
      <w:r w:rsidR="00E05B16">
        <w:rPr>
          <w:color w:val="585756"/>
        </w:rPr>
        <w:t>measuring</w:t>
      </w:r>
      <w:r w:rsidR="00041A34">
        <w:rPr>
          <w:color w:val="585756"/>
        </w:rPr>
        <w:t xml:space="preserve"> period </w:t>
      </w:r>
      <w:r w:rsidR="00E05B16">
        <w:rPr>
          <w:color w:val="585756"/>
        </w:rPr>
        <w:t>for achievement of</w:t>
      </w:r>
      <w:r w:rsidR="00041A34">
        <w:rPr>
          <w:color w:val="585756"/>
        </w:rPr>
        <w:t xml:space="preserve"> the criteria for payment of the variable remuneration</w:t>
      </w:r>
      <w:r>
        <w:rPr>
          <w:color w:val="585756"/>
        </w:rPr>
        <w:t xml:space="preserve"> has expired</w:t>
      </w:r>
      <w:r w:rsidR="00041A34">
        <w:rPr>
          <w:color w:val="585756"/>
        </w:rPr>
        <w:t>, the Board of Directors shall, based on</w:t>
      </w:r>
      <w:r>
        <w:rPr>
          <w:color w:val="585756"/>
        </w:rPr>
        <w:t xml:space="preserve"> </w:t>
      </w:r>
      <w:r w:rsidR="00041A34">
        <w:rPr>
          <w:color w:val="585756"/>
        </w:rPr>
        <w:t>proposal by the Remuneration Committee, establish to which extent the criterias</w:t>
      </w:r>
      <w:r w:rsidR="00C110BE">
        <w:rPr>
          <w:color w:val="585756"/>
        </w:rPr>
        <w:t>’</w:t>
      </w:r>
      <w:r w:rsidR="00041A34">
        <w:rPr>
          <w:color w:val="585756"/>
        </w:rPr>
        <w:t xml:space="preserve"> are </w:t>
      </w:r>
      <w:r>
        <w:rPr>
          <w:color w:val="585756"/>
        </w:rPr>
        <w:t>achieved</w:t>
      </w:r>
      <w:r w:rsidR="00041A34">
        <w:rPr>
          <w:color w:val="585756"/>
        </w:rPr>
        <w:t xml:space="preserve">. In </w:t>
      </w:r>
      <w:r>
        <w:rPr>
          <w:color w:val="585756"/>
        </w:rPr>
        <w:t xml:space="preserve">their </w:t>
      </w:r>
      <w:r w:rsidR="00041A34">
        <w:rPr>
          <w:color w:val="585756"/>
        </w:rPr>
        <w:t xml:space="preserve">assessment on whether </w:t>
      </w:r>
      <w:r w:rsidR="00041A34">
        <w:rPr>
          <w:color w:val="585756"/>
        </w:rPr>
        <w:lastRenderedPageBreak/>
        <w:t>the criterias</w:t>
      </w:r>
      <w:r w:rsidR="00C110BE">
        <w:rPr>
          <w:color w:val="585756"/>
        </w:rPr>
        <w:t>’</w:t>
      </w:r>
      <w:r w:rsidR="00041A34">
        <w:rPr>
          <w:color w:val="585756"/>
        </w:rPr>
        <w:t xml:space="preserve"> are </w:t>
      </w:r>
      <w:r>
        <w:rPr>
          <w:color w:val="585756"/>
        </w:rPr>
        <w:t>achieved</w:t>
      </w:r>
      <w:r w:rsidR="00041A34">
        <w:rPr>
          <w:color w:val="585756"/>
        </w:rPr>
        <w:t xml:space="preserve"> or not, the Board of Directors may, in accordance with proposal by the Remuneration Committee, allow exception from the established targets on the conditions set out in the below item 5. The assessment of </w:t>
      </w:r>
      <w:r>
        <w:rPr>
          <w:color w:val="585756"/>
        </w:rPr>
        <w:t xml:space="preserve">achievement of the </w:t>
      </w:r>
      <w:r w:rsidR="00041A34">
        <w:rPr>
          <w:color w:val="585756"/>
        </w:rPr>
        <w:t xml:space="preserve">financial targets </w:t>
      </w:r>
      <w:proofErr w:type="gramStart"/>
      <w:r w:rsidR="00041A34">
        <w:rPr>
          <w:color w:val="585756"/>
        </w:rPr>
        <w:t>shall be based</w:t>
      </w:r>
      <w:proofErr w:type="gramEnd"/>
      <w:r w:rsidR="00041A34">
        <w:rPr>
          <w:color w:val="585756"/>
        </w:rPr>
        <w:t xml:space="preserve"> on the company’s most recent published financial information, with any adjustments predetermined by the Board of Directors when implementing the program. Variable cash payment </w:t>
      </w:r>
      <w:r w:rsidR="00E05B16">
        <w:rPr>
          <w:color w:val="585756"/>
        </w:rPr>
        <w:t>can</w:t>
      </w:r>
      <w:r w:rsidR="00041A34">
        <w:rPr>
          <w:color w:val="585756"/>
        </w:rPr>
        <w:t xml:space="preserve"> be awarded after the expiration of the </w:t>
      </w:r>
      <w:r w:rsidR="00E05B16" w:rsidRPr="00E05B16">
        <w:rPr>
          <w:color w:val="585756"/>
        </w:rPr>
        <w:t>measuring</w:t>
      </w:r>
      <w:r w:rsidR="00E05B16">
        <w:rPr>
          <w:color w:val="585756"/>
        </w:rPr>
        <w:t xml:space="preserve"> period</w:t>
      </w:r>
      <w:r w:rsidR="00041A34">
        <w:rPr>
          <w:color w:val="585756"/>
        </w:rPr>
        <w:t xml:space="preserve"> (annual variable remuneration) or be subject to postponed payment (LTI-bonus).</w:t>
      </w:r>
    </w:p>
    <w:p w:rsidR="001E7748" w:rsidRDefault="00041A34">
      <w:pPr>
        <w:pStyle w:val="BodyText"/>
        <w:spacing w:before="154" w:line="292" w:lineRule="auto"/>
        <w:ind w:left="102" w:right="781"/>
      </w:pPr>
      <w:r w:rsidRPr="00E05B16">
        <w:rPr>
          <w:color w:val="585756"/>
        </w:rPr>
        <w:t xml:space="preserve">Getinge is </w:t>
      </w:r>
      <w:r w:rsidRPr="00381206">
        <w:rPr>
          <w:color w:val="585756"/>
        </w:rPr>
        <w:t xml:space="preserve">actively working to ensure that the company </w:t>
      </w:r>
      <w:proofErr w:type="gramStart"/>
      <w:r w:rsidRPr="00381206">
        <w:rPr>
          <w:color w:val="585756"/>
        </w:rPr>
        <w:t>is managed</w:t>
      </w:r>
      <w:proofErr w:type="gramEnd"/>
      <w:r w:rsidRPr="00381206">
        <w:rPr>
          <w:color w:val="585756"/>
        </w:rPr>
        <w:t xml:space="preserve"> in the most sustainable, responsible and efficient way possible, and that applicable legislation</w:t>
      </w:r>
      <w:r w:rsidR="00E05B16" w:rsidRPr="00381206">
        <w:rPr>
          <w:color w:val="585756"/>
        </w:rPr>
        <w:t>s</w:t>
      </w:r>
      <w:r w:rsidRPr="00381206">
        <w:rPr>
          <w:color w:val="585756"/>
        </w:rPr>
        <w:t xml:space="preserve"> and regulations are complied with. Getinge also apply internal </w:t>
      </w:r>
      <w:r w:rsidR="00E05B16" w:rsidRPr="00381206">
        <w:rPr>
          <w:color w:val="585756"/>
        </w:rPr>
        <w:t>rules</w:t>
      </w:r>
      <w:r w:rsidRPr="00381206">
        <w:rPr>
          <w:color w:val="585756"/>
        </w:rPr>
        <w:t>, including</w:t>
      </w:r>
      <w:r w:rsidR="00E05B16" w:rsidRPr="00381206">
        <w:rPr>
          <w:color w:val="585756"/>
        </w:rPr>
        <w:t xml:space="preserve"> a</w:t>
      </w:r>
      <w:r w:rsidRPr="00381206">
        <w:rPr>
          <w:color w:val="585756"/>
        </w:rPr>
        <w:t xml:space="preserve"> code of conduct and different </w:t>
      </w:r>
      <w:r w:rsidR="00E05B16" w:rsidRPr="00381206">
        <w:rPr>
          <w:color w:val="585756"/>
        </w:rPr>
        <w:t>g</w:t>
      </w:r>
      <w:r w:rsidRPr="00381206">
        <w:rPr>
          <w:color w:val="585756"/>
        </w:rPr>
        <w:t xml:space="preserve">roup- wide steering documents (policies, instructions and guidelines) within </w:t>
      </w:r>
      <w:r w:rsidR="00E05B16" w:rsidRPr="00381206">
        <w:rPr>
          <w:color w:val="585756"/>
        </w:rPr>
        <w:t>a range of different areas</w:t>
      </w:r>
      <w:r w:rsidRPr="00381206">
        <w:rPr>
          <w:color w:val="585756"/>
        </w:rPr>
        <w:t xml:space="preserve">. </w:t>
      </w:r>
      <w:r w:rsidR="00C553A8" w:rsidRPr="00381206">
        <w:rPr>
          <w:color w:val="585756"/>
        </w:rPr>
        <w:t>V</w:t>
      </w:r>
      <w:r w:rsidRPr="00381206">
        <w:rPr>
          <w:color w:val="585756"/>
        </w:rPr>
        <w:t xml:space="preserve">ariable remuneration </w:t>
      </w:r>
      <w:proofErr w:type="gramStart"/>
      <w:r w:rsidR="00E05B16" w:rsidRPr="00381206">
        <w:rPr>
          <w:color w:val="585756"/>
        </w:rPr>
        <w:t xml:space="preserve">shall not be </w:t>
      </w:r>
      <w:r w:rsidR="00C553A8" w:rsidRPr="00381206">
        <w:rPr>
          <w:color w:val="585756"/>
        </w:rPr>
        <w:t>awarded</w:t>
      </w:r>
      <w:proofErr w:type="gramEnd"/>
      <w:r w:rsidR="00E05B16" w:rsidRPr="00381206">
        <w:rPr>
          <w:color w:val="585756"/>
        </w:rPr>
        <w:t xml:space="preserve">, and variable remuneration can be </w:t>
      </w:r>
      <w:r w:rsidRPr="00381206">
        <w:rPr>
          <w:color w:val="585756"/>
        </w:rPr>
        <w:t xml:space="preserve">reclaimed, if the Senior Executive has acted contrary to these rules, principles or the company’s code of conduct. </w:t>
      </w:r>
      <w:r w:rsidR="00C553A8" w:rsidRPr="00381206">
        <w:rPr>
          <w:color w:val="585756"/>
        </w:rPr>
        <w:t>V</w:t>
      </w:r>
      <w:r w:rsidRPr="00381206">
        <w:rPr>
          <w:color w:val="585756"/>
        </w:rPr>
        <w:t xml:space="preserve">ariable remuneration </w:t>
      </w:r>
      <w:proofErr w:type="gramStart"/>
      <w:r w:rsidRPr="00381206">
        <w:rPr>
          <w:color w:val="585756"/>
        </w:rPr>
        <w:t>shall not be awarded</w:t>
      </w:r>
      <w:proofErr w:type="gramEnd"/>
      <w:r w:rsidRPr="00C553A8">
        <w:rPr>
          <w:color w:val="585756"/>
        </w:rPr>
        <w:t xml:space="preserve"> if the earnings before tax is negative. </w:t>
      </w:r>
      <w:r>
        <w:rPr>
          <w:color w:val="585756"/>
        </w:rPr>
        <w:t xml:space="preserve">The Board of Directors shall also have the possibility to, in accordance with legislation or agreement, in whole or </w:t>
      </w:r>
      <w:r w:rsidR="00C553A8">
        <w:rPr>
          <w:color w:val="585756"/>
        </w:rPr>
        <w:t>partly</w:t>
      </w:r>
      <w:r>
        <w:rPr>
          <w:color w:val="585756"/>
        </w:rPr>
        <w:t xml:space="preserve">, reclaim any variable </w:t>
      </w:r>
      <w:r w:rsidR="00C553A8">
        <w:rPr>
          <w:color w:val="585756"/>
        </w:rPr>
        <w:t xml:space="preserve">wrongly awarded </w:t>
      </w:r>
      <w:r>
        <w:rPr>
          <w:color w:val="585756"/>
        </w:rPr>
        <w:t>remuneration.</w:t>
      </w:r>
    </w:p>
    <w:p w:rsidR="001E7748" w:rsidRDefault="00041A34">
      <w:pPr>
        <w:pStyle w:val="Heading2"/>
        <w:spacing w:before="156"/>
      </w:pPr>
      <w:r>
        <w:rPr>
          <w:color w:val="585756"/>
        </w:rPr>
        <w:t>Other variable remuneration</w:t>
      </w:r>
    </w:p>
    <w:p w:rsidR="001E7748" w:rsidRDefault="004270F1">
      <w:pPr>
        <w:pStyle w:val="BodyText"/>
        <w:spacing w:before="48" w:line="292" w:lineRule="auto"/>
        <w:ind w:left="102" w:right="804"/>
      </w:pPr>
      <w:r>
        <w:rPr>
          <w:color w:val="585756"/>
        </w:rPr>
        <w:t>Additional</w:t>
      </w:r>
      <w:r w:rsidR="00041A34">
        <w:rPr>
          <w:color w:val="585756"/>
        </w:rPr>
        <w:t xml:space="preserve"> variable cash remuneration </w:t>
      </w:r>
      <w:proofErr w:type="gramStart"/>
      <w:r>
        <w:rPr>
          <w:color w:val="585756"/>
        </w:rPr>
        <w:t>can</w:t>
      </w:r>
      <w:r w:rsidR="00041A34">
        <w:rPr>
          <w:color w:val="585756"/>
        </w:rPr>
        <w:t xml:space="preserve"> be awarded</w:t>
      </w:r>
      <w:proofErr w:type="gramEnd"/>
      <w:r w:rsidR="00041A34">
        <w:rPr>
          <w:color w:val="585756"/>
        </w:rPr>
        <w:t xml:space="preserve"> </w:t>
      </w:r>
      <w:r>
        <w:rPr>
          <w:color w:val="585756"/>
        </w:rPr>
        <w:t>in case of</w:t>
      </w:r>
      <w:r w:rsidR="00041A34">
        <w:rPr>
          <w:color w:val="585756"/>
        </w:rPr>
        <w:t xml:space="preserve"> extraordinary circumstances, provided such extraordinary arrangements are only conducted for the purpose of recruiting or retaining executives. Such remuneration may not exceed an amount corresponding to 100% of the base salary and </w:t>
      </w:r>
      <w:r>
        <w:rPr>
          <w:color w:val="585756"/>
        </w:rPr>
        <w:t>only</w:t>
      </w:r>
      <w:r w:rsidR="00041A34">
        <w:rPr>
          <w:color w:val="585756"/>
        </w:rPr>
        <w:t xml:space="preserve"> be</w:t>
      </w:r>
      <w:r>
        <w:rPr>
          <w:color w:val="585756"/>
        </w:rPr>
        <w:t xml:space="preserve"> awarded</w:t>
      </w:r>
      <w:r w:rsidR="00041A34">
        <w:rPr>
          <w:color w:val="585756"/>
        </w:rPr>
        <w:t xml:space="preserve"> </w:t>
      </w:r>
      <w:r>
        <w:rPr>
          <w:color w:val="585756"/>
        </w:rPr>
        <w:t>once a</w:t>
      </w:r>
      <w:r w:rsidR="00041A34">
        <w:rPr>
          <w:color w:val="585756"/>
        </w:rPr>
        <w:t xml:space="preserve"> year per individual. </w:t>
      </w:r>
      <w:r>
        <w:rPr>
          <w:color w:val="585756"/>
        </w:rPr>
        <w:t>R</w:t>
      </w:r>
      <w:r w:rsidR="00041A34">
        <w:rPr>
          <w:color w:val="585756"/>
        </w:rPr>
        <w:t>esolution on such remuneration</w:t>
      </w:r>
      <w:r>
        <w:rPr>
          <w:color w:val="585756"/>
        </w:rPr>
        <w:t xml:space="preserve"> </w:t>
      </w:r>
      <w:proofErr w:type="gramStart"/>
      <w:r w:rsidR="00041A34">
        <w:rPr>
          <w:color w:val="585756"/>
        </w:rPr>
        <w:t>shall be made by the Board of Directors and based on a proposal by the Remuneration Committee</w:t>
      </w:r>
      <w:proofErr w:type="gramEnd"/>
      <w:r w:rsidR="00041A34">
        <w:rPr>
          <w:color w:val="585756"/>
        </w:rPr>
        <w:t>. In addition to variable remuneration, resolutions on share- or sha</w:t>
      </w:r>
      <w:r>
        <w:rPr>
          <w:color w:val="585756"/>
        </w:rPr>
        <w:t>re price related incentive programs</w:t>
      </w:r>
      <w:r w:rsidR="00041A34">
        <w:rPr>
          <w:color w:val="585756"/>
        </w:rPr>
        <w:t xml:space="preserve">, in accordance with the above, </w:t>
      </w:r>
      <w:proofErr w:type="gramStart"/>
      <w:r w:rsidR="00986292">
        <w:rPr>
          <w:color w:val="585756"/>
        </w:rPr>
        <w:t>c</w:t>
      </w:r>
      <w:r w:rsidR="00C110BE">
        <w:rPr>
          <w:color w:val="585756"/>
        </w:rPr>
        <w:t>an</w:t>
      </w:r>
      <w:proofErr w:type="gramEnd"/>
      <w:r w:rsidR="00041A34">
        <w:rPr>
          <w:color w:val="585756"/>
        </w:rPr>
        <w:t xml:space="preserve"> from time to time be</w:t>
      </w:r>
      <w:r w:rsidR="00986292">
        <w:rPr>
          <w:color w:val="585756"/>
        </w:rPr>
        <w:t xml:space="preserve"> made</w:t>
      </w:r>
      <w:r w:rsidR="00041A34">
        <w:rPr>
          <w:color w:val="585756"/>
        </w:rPr>
        <w:t>.</w:t>
      </w:r>
    </w:p>
    <w:p w:rsidR="001E7748" w:rsidRDefault="001E7748">
      <w:pPr>
        <w:pStyle w:val="BodyText"/>
        <w:spacing w:before="2"/>
        <w:rPr>
          <w:sz w:val="24"/>
        </w:rPr>
      </w:pPr>
    </w:p>
    <w:p w:rsidR="001E7748" w:rsidRDefault="00041A34">
      <w:pPr>
        <w:pStyle w:val="Heading2"/>
      </w:pPr>
      <w:r>
        <w:rPr>
          <w:color w:val="585756"/>
        </w:rPr>
        <w:t>Pension and health insurance (sw. sjukförsäkring)</w:t>
      </w:r>
    </w:p>
    <w:p w:rsidR="001E7748" w:rsidRDefault="00041A34">
      <w:pPr>
        <w:pStyle w:val="BodyText"/>
        <w:spacing w:before="48" w:line="290" w:lineRule="auto"/>
        <w:ind w:left="102" w:right="1104"/>
      </w:pPr>
      <w:r>
        <w:rPr>
          <w:color w:val="585756"/>
        </w:rPr>
        <w:t xml:space="preserve">The CEO has right to retire from the age of 62 and other Senior Executives has right to retire in accordance with </w:t>
      </w:r>
      <w:r w:rsidR="00986292">
        <w:rPr>
          <w:color w:val="585756"/>
        </w:rPr>
        <w:t>applicable</w:t>
      </w:r>
      <w:r>
        <w:rPr>
          <w:color w:val="585756"/>
        </w:rPr>
        <w:t xml:space="preserve"> local regulations.</w:t>
      </w:r>
    </w:p>
    <w:p w:rsidR="001E7748" w:rsidRPr="00381206" w:rsidRDefault="00041A34">
      <w:pPr>
        <w:pStyle w:val="BodyText"/>
        <w:spacing w:before="164" w:line="290" w:lineRule="auto"/>
        <w:ind w:left="102" w:right="815"/>
      </w:pPr>
      <w:r>
        <w:rPr>
          <w:color w:val="585756"/>
        </w:rPr>
        <w:t xml:space="preserve">Pension </w:t>
      </w:r>
      <w:r w:rsidR="00BB3DBD">
        <w:rPr>
          <w:color w:val="585756"/>
        </w:rPr>
        <w:t>contributions</w:t>
      </w:r>
      <w:r>
        <w:rPr>
          <w:color w:val="585756"/>
        </w:rPr>
        <w:t xml:space="preserve"> for the CEO shall amount to no more than 40</w:t>
      </w:r>
      <w:r w:rsidRPr="00381206">
        <w:rPr>
          <w:color w:val="585756"/>
        </w:rPr>
        <w:t xml:space="preserve">% of the fixed base salary </w:t>
      </w:r>
      <w:r w:rsidR="00BB3DBD">
        <w:rPr>
          <w:color w:val="585756"/>
        </w:rPr>
        <w:t>on a defined contribution basis.</w:t>
      </w:r>
      <w:r w:rsidRPr="00381206">
        <w:rPr>
          <w:color w:val="585756"/>
        </w:rPr>
        <w:t xml:space="preserve"> Variable cash remuneration shall not</w:t>
      </w:r>
      <w:r w:rsidR="00986292" w:rsidRPr="00381206">
        <w:rPr>
          <w:color w:val="585756"/>
        </w:rPr>
        <w:t xml:space="preserve"> </w:t>
      </w:r>
      <w:r w:rsidR="00BB3DBD">
        <w:rPr>
          <w:color w:val="585756"/>
        </w:rPr>
        <w:t>qualify for pension benefits</w:t>
      </w:r>
      <w:r w:rsidRPr="00381206">
        <w:rPr>
          <w:color w:val="585756"/>
        </w:rPr>
        <w:t>.</w:t>
      </w:r>
    </w:p>
    <w:p w:rsidR="001E7748" w:rsidRDefault="00041A34" w:rsidP="009F159F">
      <w:pPr>
        <w:pStyle w:val="BodyText"/>
        <w:spacing w:before="163" w:line="292" w:lineRule="auto"/>
        <w:ind w:left="102" w:right="799"/>
      </w:pPr>
      <w:r w:rsidRPr="00601CDE">
        <w:rPr>
          <w:color w:val="585756"/>
        </w:rPr>
        <w:t xml:space="preserve">Other Senior Executives </w:t>
      </w:r>
      <w:proofErr w:type="gramStart"/>
      <w:r w:rsidRPr="00601CDE">
        <w:rPr>
          <w:color w:val="585756"/>
        </w:rPr>
        <w:t>shall be covered</w:t>
      </w:r>
      <w:proofErr w:type="gramEnd"/>
      <w:r w:rsidRPr="00601CDE">
        <w:rPr>
          <w:color w:val="585756"/>
        </w:rPr>
        <w:t xml:space="preserve"> by ITP1 or ITP2</w:t>
      </w:r>
      <w:r w:rsidRPr="00381206">
        <w:rPr>
          <w:color w:val="585756"/>
        </w:rPr>
        <w:t xml:space="preserve"> and the pension benefits shall be</w:t>
      </w:r>
      <w:r w:rsidR="003D7AAA" w:rsidRPr="00381206">
        <w:rPr>
          <w:color w:val="585756"/>
        </w:rPr>
        <w:t xml:space="preserve"> </w:t>
      </w:r>
      <w:r w:rsidR="00BB3DBD">
        <w:rPr>
          <w:color w:val="585756"/>
        </w:rPr>
        <w:t>on a defined contribution basis.</w:t>
      </w:r>
      <w:r w:rsidRPr="00381206">
        <w:rPr>
          <w:color w:val="585756"/>
        </w:rPr>
        <w:t xml:space="preserve"> Variable cash remuneration shall not </w:t>
      </w:r>
      <w:r w:rsidR="00BB3DBD">
        <w:rPr>
          <w:color w:val="585756"/>
        </w:rPr>
        <w:t>qualify for pension benefits in general, except where</w:t>
      </w:r>
      <w:r w:rsidR="00A147E8" w:rsidRPr="00381206">
        <w:rPr>
          <w:color w:val="585756"/>
        </w:rPr>
        <w:t xml:space="preserve"> </w:t>
      </w:r>
      <w:r w:rsidRPr="00381206">
        <w:rPr>
          <w:color w:val="585756"/>
        </w:rPr>
        <w:t xml:space="preserve">mandatory </w:t>
      </w:r>
      <w:r w:rsidR="00A147E8" w:rsidRPr="00381206">
        <w:rPr>
          <w:color w:val="585756"/>
        </w:rPr>
        <w:t xml:space="preserve">by </w:t>
      </w:r>
      <w:r w:rsidRPr="00381206">
        <w:rPr>
          <w:color w:val="585756"/>
        </w:rPr>
        <w:t xml:space="preserve">collective </w:t>
      </w:r>
      <w:r w:rsidR="003D7AAA" w:rsidRPr="00381206">
        <w:rPr>
          <w:color w:val="585756"/>
        </w:rPr>
        <w:t xml:space="preserve">bargaining </w:t>
      </w:r>
      <w:r w:rsidRPr="00381206">
        <w:rPr>
          <w:color w:val="585756"/>
        </w:rPr>
        <w:t>agreement pro</w:t>
      </w:r>
      <w:r w:rsidR="003D7AAA" w:rsidRPr="00381206">
        <w:rPr>
          <w:color w:val="585756"/>
        </w:rPr>
        <w:t>visions</w:t>
      </w:r>
      <w:r w:rsidR="00A147E8" w:rsidRPr="00381206">
        <w:rPr>
          <w:color w:val="585756"/>
        </w:rPr>
        <w:t xml:space="preserve"> applicable</w:t>
      </w:r>
      <w:r w:rsidR="003D7AAA" w:rsidRPr="00381206">
        <w:rPr>
          <w:color w:val="585756"/>
        </w:rPr>
        <w:t xml:space="preserve"> for the e</w:t>
      </w:r>
      <w:r w:rsidRPr="00381206">
        <w:rPr>
          <w:color w:val="585756"/>
        </w:rPr>
        <w:t>xecutive</w:t>
      </w:r>
      <w:r w:rsidR="00A147E8" w:rsidRPr="00381206">
        <w:rPr>
          <w:color w:val="585756"/>
        </w:rPr>
        <w:t>.</w:t>
      </w:r>
      <w:r w:rsidRPr="00381206">
        <w:rPr>
          <w:color w:val="585756"/>
        </w:rPr>
        <w:t xml:space="preserve"> </w:t>
      </w:r>
      <w:r w:rsidR="00A147E8" w:rsidRPr="00381206">
        <w:rPr>
          <w:color w:val="585756"/>
        </w:rPr>
        <w:t>In such case</w:t>
      </w:r>
      <w:r w:rsidRPr="00381206">
        <w:rPr>
          <w:color w:val="585756"/>
        </w:rPr>
        <w:t xml:space="preserve">, this </w:t>
      </w:r>
      <w:proofErr w:type="gramStart"/>
      <w:r w:rsidRPr="00381206">
        <w:rPr>
          <w:color w:val="585756"/>
        </w:rPr>
        <w:t>shall be considered</w:t>
      </w:r>
      <w:proofErr w:type="gramEnd"/>
      <w:r w:rsidRPr="00381206">
        <w:rPr>
          <w:color w:val="585756"/>
        </w:rPr>
        <w:t xml:space="preserve"> when </w:t>
      </w:r>
      <w:r w:rsidR="00A147E8" w:rsidRPr="00381206">
        <w:rPr>
          <w:color w:val="585756"/>
        </w:rPr>
        <w:t>creating</w:t>
      </w:r>
      <w:r w:rsidRPr="00381206">
        <w:rPr>
          <w:color w:val="585756"/>
        </w:rPr>
        <w:t xml:space="preserve"> the total benefit</w:t>
      </w:r>
      <w:r w:rsidR="00A147E8" w:rsidRPr="00381206">
        <w:rPr>
          <w:color w:val="585756"/>
        </w:rPr>
        <w:t>s package</w:t>
      </w:r>
      <w:r w:rsidRPr="00381206">
        <w:rPr>
          <w:color w:val="585756"/>
        </w:rPr>
        <w:t xml:space="preserve">. Senior Executives covered by ITP2, with the </w:t>
      </w:r>
      <w:r w:rsidR="00A147E8" w:rsidRPr="00381206">
        <w:rPr>
          <w:color w:val="585756"/>
        </w:rPr>
        <w:t>option</w:t>
      </w:r>
      <w:r w:rsidRPr="00381206">
        <w:rPr>
          <w:color w:val="585756"/>
        </w:rPr>
        <w:t xml:space="preserve"> to choose ‘alternative ITP’ has, according to</w:t>
      </w:r>
      <w:r>
        <w:rPr>
          <w:color w:val="585756"/>
        </w:rPr>
        <w:t xml:space="preserve"> the ITP2-pension plan, benefits up to 7.5 income base amounts (sw. </w:t>
      </w:r>
      <w:r>
        <w:rPr>
          <w:i/>
          <w:color w:val="585756"/>
        </w:rPr>
        <w:t>inkomstbasbelopp</w:t>
      </w:r>
      <w:r>
        <w:rPr>
          <w:color w:val="585756"/>
        </w:rPr>
        <w:t>) (“IBB”) and</w:t>
      </w:r>
      <w:r w:rsidR="00A147E8">
        <w:rPr>
          <w:color w:val="585756"/>
        </w:rPr>
        <w:t xml:space="preserve"> </w:t>
      </w:r>
      <w:r>
        <w:rPr>
          <w:color w:val="585756"/>
        </w:rPr>
        <w:t xml:space="preserve">health insurance </w:t>
      </w:r>
      <w:r w:rsidR="00BB3DBD">
        <w:rPr>
          <w:color w:val="585756"/>
        </w:rPr>
        <w:t>covering a</w:t>
      </w:r>
      <w:r w:rsidR="00A147E8">
        <w:rPr>
          <w:color w:val="585756"/>
        </w:rPr>
        <w:t xml:space="preserve"> salary up to 30 IBB. On portions</w:t>
      </w:r>
      <w:r>
        <w:rPr>
          <w:color w:val="585756"/>
        </w:rPr>
        <w:t xml:space="preserve"> of the salary above the cap of the ITP2- plan of 30 IBB, there is a supplementary </w:t>
      </w:r>
      <w:r w:rsidR="00BB3DBD">
        <w:rPr>
          <w:color w:val="585756"/>
        </w:rPr>
        <w:t>contribution</w:t>
      </w:r>
      <w:r>
        <w:rPr>
          <w:color w:val="585756"/>
        </w:rPr>
        <w:t xml:space="preserve"> of 30% of the pensionable salary.</w:t>
      </w:r>
    </w:p>
    <w:p w:rsidR="001E7748" w:rsidRDefault="00041A34">
      <w:pPr>
        <w:pStyle w:val="BodyText"/>
        <w:spacing w:before="163" w:line="290" w:lineRule="auto"/>
        <w:ind w:left="102" w:right="791"/>
      </w:pPr>
      <w:r>
        <w:rPr>
          <w:color w:val="585756"/>
        </w:rPr>
        <w:t>In addition to the above, Senior Executives can be covered by an additional health income insurance (</w:t>
      </w:r>
      <w:r>
        <w:rPr>
          <w:i/>
          <w:color w:val="585756"/>
        </w:rPr>
        <w:t>sw. sjukinkomstförsäkring</w:t>
      </w:r>
      <w:r>
        <w:rPr>
          <w:color w:val="585756"/>
        </w:rPr>
        <w:t>) for p</w:t>
      </w:r>
      <w:r w:rsidR="00A147E8">
        <w:rPr>
          <w:color w:val="585756"/>
        </w:rPr>
        <w:t>ortions</w:t>
      </w:r>
      <w:r>
        <w:rPr>
          <w:color w:val="585756"/>
        </w:rPr>
        <w:t xml:space="preserve"> of the salary over 30 IBB, premium relief insurance (</w:t>
      </w:r>
      <w:r>
        <w:rPr>
          <w:i/>
          <w:color w:val="585756"/>
        </w:rPr>
        <w:t xml:space="preserve">sw. premiebefrielseförsäkring) </w:t>
      </w:r>
      <w:r>
        <w:rPr>
          <w:color w:val="585756"/>
        </w:rPr>
        <w:t>and part-time pension premium, amounting to not more than 3% of the fixed base salary.</w:t>
      </w:r>
    </w:p>
    <w:p w:rsidR="001E7748" w:rsidRDefault="00041A34">
      <w:pPr>
        <w:pStyle w:val="BodyText"/>
        <w:spacing w:before="166" w:line="292" w:lineRule="auto"/>
        <w:ind w:left="102" w:right="599"/>
      </w:pPr>
      <w:r>
        <w:rPr>
          <w:color w:val="585756"/>
        </w:rPr>
        <w:t>For employments governed by other than Swedish regulations, pension benefits and other benefits may be duly amended to comply with mandatory rul</w:t>
      </w:r>
      <w:r w:rsidR="00A147E8">
        <w:rPr>
          <w:color w:val="585756"/>
        </w:rPr>
        <w:t>es or established local regulations</w:t>
      </w:r>
      <w:r>
        <w:rPr>
          <w:color w:val="585756"/>
        </w:rPr>
        <w:t xml:space="preserve">, taking into </w:t>
      </w:r>
      <w:r w:rsidR="00A147E8">
        <w:rPr>
          <w:color w:val="585756"/>
        </w:rPr>
        <w:t>consideration</w:t>
      </w:r>
      <w:r>
        <w:rPr>
          <w:color w:val="585756"/>
        </w:rPr>
        <w:t>, to the extent possible</w:t>
      </w:r>
      <w:r w:rsidR="00A147E8">
        <w:rPr>
          <w:color w:val="585756"/>
        </w:rPr>
        <w:t>, the overall purpose of these g</w:t>
      </w:r>
      <w:r>
        <w:rPr>
          <w:color w:val="585756"/>
        </w:rPr>
        <w:t>uidelines.</w:t>
      </w:r>
    </w:p>
    <w:p w:rsidR="001E7748" w:rsidRDefault="00041A34">
      <w:pPr>
        <w:pStyle w:val="Heading2"/>
        <w:spacing w:before="160"/>
      </w:pPr>
      <w:r>
        <w:rPr>
          <w:color w:val="585756"/>
        </w:rPr>
        <w:t>Other benefits</w:t>
      </w:r>
    </w:p>
    <w:p w:rsidR="001E7748" w:rsidRDefault="00041A34">
      <w:pPr>
        <w:pStyle w:val="BodyText"/>
        <w:spacing w:before="48" w:line="292" w:lineRule="auto"/>
        <w:ind w:left="102" w:right="826"/>
      </w:pPr>
      <w:r>
        <w:rPr>
          <w:color w:val="585756"/>
        </w:rPr>
        <w:t>Other benefits such as company car, additional medical insurance (</w:t>
      </w:r>
      <w:r>
        <w:rPr>
          <w:i/>
          <w:color w:val="585756"/>
        </w:rPr>
        <w:t>sw. sjukvårdsförsäkring</w:t>
      </w:r>
      <w:r>
        <w:rPr>
          <w:color w:val="585756"/>
        </w:rPr>
        <w:t>) and company health care (</w:t>
      </w:r>
      <w:r>
        <w:rPr>
          <w:i/>
          <w:color w:val="585756"/>
        </w:rPr>
        <w:t>sw. företagshälsovård</w:t>
      </w:r>
      <w:r>
        <w:rPr>
          <w:color w:val="585756"/>
        </w:rPr>
        <w:t>), may be provided to the extent this is considered to be in line with market terms for Senior</w:t>
      </w:r>
      <w:r w:rsidR="00D96943">
        <w:rPr>
          <w:color w:val="585756"/>
        </w:rPr>
        <w:t xml:space="preserve"> Executives o</w:t>
      </w:r>
      <w:r>
        <w:rPr>
          <w:color w:val="585756"/>
        </w:rPr>
        <w:t xml:space="preserve">n </w:t>
      </w:r>
      <w:r w:rsidR="00D96943">
        <w:rPr>
          <w:color w:val="585756"/>
        </w:rPr>
        <w:t>similar</w:t>
      </w:r>
      <w:r>
        <w:rPr>
          <w:color w:val="585756"/>
        </w:rPr>
        <w:t xml:space="preserve"> positions</w:t>
      </w:r>
      <w:r w:rsidR="00D96943">
        <w:rPr>
          <w:color w:val="585756"/>
        </w:rPr>
        <w:t xml:space="preserve"> on that local market</w:t>
      </w:r>
      <w:r>
        <w:rPr>
          <w:color w:val="585756"/>
        </w:rPr>
        <w:t>. The total value of such benefits may not exceed 10% of the fixed base salary.</w:t>
      </w:r>
    </w:p>
    <w:p w:rsidR="001E7748" w:rsidRDefault="00041A34">
      <w:pPr>
        <w:pStyle w:val="Heading2"/>
        <w:spacing w:before="160"/>
      </w:pPr>
      <w:r>
        <w:rPr>
          <w:color w:val="585756"/>
        </w:rPr>
        <w:t>Conditions for termination</w:t>
      </w:r>
    </w:p>
    <w:p w:rsidR="001E7748" w:rsidRDefault="007C6AF7">
      <w:pPr>
        <w:pStyle w:val="BodyText"/>
        <w:spacing w:before="48" w:line="292" w:lineRule="auto"/>
        <w:ind w:left="102" w:right="756"/>
      </w:pPr>
      <w:r>
        <w:rPr>
          <w:color w:val="585756"/>
        </w:rPr>
        <w:t>Senior E</w:t>
      </w:r>
      <w:r w:rsidR="00041A34">
        <w:rPr>
          <w:color w:val="585756"/>
        </w:rPr>
        <w:t xml:space="preserve">xecutives shall have a permanent employment. </w:t>
      </w:r>
      <w:r w:rsidR="00D96943">
        <w:rPr>
          <w:color w:val="585756"/>
        </w:rPr>
        <w:t xml:space="preserve">If the company terminates the employment, the </w:t>
      </w:r>
      <w:r w:rsidR="00041A34">
        <w:rPr>
          <w:color w:val="585756"/>
        </w:rPr>
        <w:t xml:space="preserve">notice period </w:t>
      </w:r>
      <w:r w:rsidR="00D96943">
        <w:rPr>
          <w:color w:val="585756"/>
        </w:rPr>
        <w:t>shall</w:t>
      </w:r>
      <w:r w:rsidR="00041A34">
        <w:rPr>
          <w:color w:val="585756"/>
        </w:rPr>
        <w:t xml:space="preserve"> not exceed twelve months. Upon termination</w:t>
      </w:r>
      <w:r w:rsidR="00D96943">
        <w:rPr>
          <w:color w:val="585756"/>
        </w:rPr>
        <w:t xml:space="preserve"> of employment</w:t>
      </w:r>
      <w:r w:rsidR="00041A34">
        <w:rPr>
          <w:color w:val="585756"/>
        </w:rPr>
        <w:t xml:space="preserve">, the </w:t>
      </w:r>
      <w:r w:rsidR="00D96943">
        <w:rPr>
          <w:color w:val="585756"/>
        </w:rPr>
        <w:t xml:space="preserve">total of the </w:t>
      </w:r>
      <w:r w:rsidR="00041A34">
        <w:rPr>
          <w:color w:val="585756"/>
        </w:rPr>
        <w:t xml:space="preserve">fixed salary during the notice </w:t>
      </w:r>
      <w:r w:rsidR="002674E6">
        <w:rPr>
          <w:color w:val="585756"/>
        </w:rPr>
        <w:t xml:space="preserve">period </w:t>
      </w:r>
      <w:r w:rsidR="00041A34">
        <w:rPr>
          <w:color w:val="585756"/>
        </w:rPr>
        <w:t xml:space="preserve">together with severance pay </w:t>
      </w:r>
      <w:r w:rsidR="00D96943">
        <w:rPr>
          <w:color w:val="585756"/>
        </w:rPr>
        <w:t xml:space="preserve">may </w:t>
      </w:r>
      <w:r w:rsidR="00041A34">
        <w:rPr>
          <w:color w:val="585756"/>
        </w:rPr>
        <w:t xml:space="preserve">not exceed an amount equivalent to </w:t>
      </w:r>
      <w:r w:rsidR="00D96943">
        <w:rPr>
          <w:color w:val="585756"/>
        </w:rPr>
        <w:t xml:space="preserve">two years fixed base salary for </w:t>
      </w:r>
      <w:r w:rsidR="00041A34">
        <w:rPr>
          <w:color w:val="585756"/>
        </w:rPr>
        <w:t xml:space="preserve">the CEO, and one year for other executives. </w:t>
      </w:r>
      <w:r w:rsidR="00D96943">
        <w:rPr>
          <w:color w:val="585756"/>
        </w:rPr>
        <w:t>If the executive terminates the employment, t</w:t>
      </w:r>
      <w:r w:rsidR="00041A34">
        <w:rPr>
          <w:color w:val="585756"/>
        </w:rPr>
        <w:t xml:space="preserve">he notice </w:t>
      </w:r>
      <w:r w:rsidR="00870373">
        <w:rPr>
          <w:color w:val="585756"/>
        </w:rPr>
        <w:t xml:space="preserve">period </w:t>
      </w:r>
      <w:r w:rsidR="00D96943">
        <w:rPr>
          <w:color w:val="585756"/>
        </w:rPr>
        <w:t xml:space="preserve">shall not </w:t>
      </w:r>
      <w:r w:rsidR="00041A34">
        <w:rPr>
          <w:color w:val="585756"/>
        </w:rPr>
        <w:t xml:space="preserve">exceed six months </w:t>
      </w:r>
      <w:r w:rsidR="00870373">
        <w:rPr>
          <w:color w:val="585756"/>
        </w:rPr>
        <w:t xml:space="preserve">and be </w:t>
      </w:r>
      <w:r w:rsidR="00041A34">
        <w:rPr>
          <w:color w:val="585756"/>
        </w:rPr>
        <w:t>without any right to severance</w:t>
      </w:r>
      <w:r w:rsidR="00041A34">
        <w:rPr>
          <w:color w:val="585756"/>
          <w:spacing w:val="-2"/>
        </w:rPr>
        <w:t xml:space="preserve"> </w:t>
      </w:r>
      <w:r w:rsidR="00041A34">
        <w:rPr>
          <w:color w:val="585756"/>
        </w:rPr>
        <w:t>pay.</w:t>
      </w:r>
    </w:p>
    <w:p w:rsidR="001E7748" w:rsidRDefault="007C6AF7">
      <w:pPr>
        <w:pStyle w:val="BodyText"/>
        <w:spacing w:before="158" w:line="292" w:lineRule="auto"/>
        <w:ind w:left="102" w:right="837"/>
      </w:pPr>
      <w:r>
        <w:rPr>
          <w:color w:val="585756"/>
        </w:rPr>
        <w:t>Senior E</w:t>
      </w:r>
      <w:r w:rsidR="00041A34">
        <w:rPr>
          <w:color w:val="585756"/>
        </w:rPr>
        <w:t xml:space="preserve">xecutives may be entitled to </w:t>
      </w:r>
      <w:r w:rsidR="00870373">
        <w:rPr>
          <w:color w:val="585756"/>
        </w:rPr>
        <w:t>compensation</w:t>
      </w:r>
      <w:r w:rsidR="00041A34">
        <w:rPr>
          <w:color w:val="585756"/>
        </w:rPr>
        <w:t xml:space="preserve"> for </w:t>
      </w:r>
      <w:r w:rsidR="00870373">
        <w:rPr>
          <w:color w:val="585756"/>
        </w:rPr>
        <w:t xml:space="preserve">any </w:t>
      </w:r>
      <w:r w:rsidR="00041A34">
        <w:rPr>
          <w:color w:val="585756"/>
        </w:rPr>
        <w:t>competition restrictions after</w:t>
      </w:r>
      <w:r w:rsidR="00870373">
        <w:rPr>
          <w:color w:val="585756"/>
        </w:rPr>
        <w:t xml:space="preserve"> the termination of </w:t>
      </w:r>
      <w:proofErr w:type="gramStart"/>
      <w:r w:rsidR="00870373">
        <w:rPr>
          <w:color w:val="585756"/>
        </w:rPr>
        <w:t>employment,</w:t>
      </w:r>
      <w:proofErr w:type="gramEnd"/>
      <w:r w:rsidR="00041A34">
        <w:rPr>
          <w:color w:val="585756"/>
        </w:rPr>
        <w:t xml:space="preserve"> however, only to the extent severance pay for the corresponding period is not awarded. The purpose of such </w:t>
      </w:r>
      <w:r w:rsidR="00637628">
        <w:rPr>
          <w:color w:val="585756"/>
        </w:rPr>
        <w:t xml:space="preserve">compensation </w:t>
      </w:r>
      <w:r w:rsidR="00041A34">
        <w:rPr>
          <w:color w:val="585756"/>
        </w:rPr>
        <w:t xml:space="preserve">is to compensate the executive for </w:t>
      </w:r>
      <w:r w:rsidR="00870373">
        <w:rPr>
          <w:color w:val="585756"/>
        </w:rPr>
        <w:t>any</w:t>
      </w:r>
      <w:r w:rsidR="00041A34">
        <w:rPr>
          <w:color w:val="585756"/>
        </w:rPr>
        <w:t xml:space="preserve"> gap between the monthly base salary at the notice of termination and (lower)</w:t>
      </w:r>
      <w:r w:rsidR="00870373">
        <w:rPr>
          <w:color w:val="585756"/>
        </w:rPr>
        <w:t xml:space="preserve"> </w:t>
      </w:r>
      <w:r w:rsidR="00041A34">
        <w:rPr>
          <w:color w:val="585756"/>
        </w:rPr>
        <w:t>monthly income</w:t>
      </w:r>
      <w:r w:rsidR="00870373">
        <w:rPr>
          <w:color w:val="585756"/>
        </w:rPr>
        <w:t xml:space="preserve"> received</w:t>
      </w:r>
      <w:r w:rsidR="00041A34">
        <w:rPr>
          <w:color w:val="585756"/>
        </w:rPr>
        <w:t xml:space="preserve">, or </w:t>
      </w:r>
      <w:r w:rsidR="00870373">
        <w:rPr>
          <w:color w:val="585756"/>
        </w:rPr>
        <w:t>that</w:t>
      </w:r>
      <w:r w:rsidR="00041A34">
        <w:rPr>
          <w:color w:val="585756"/>
        </w:rPr>
        <w:t xml:space="preserve"> could be received, by a new employment, assignment or own business. The </w:t>
      </w:r>
      <w:r w:rsidR="00870373">
        <w:rPr>
          <w:color w:val="585756"/>
        </w:rPr>
        <w:t>compensation</w:t>
      </w:r>
      <w:r w:rsidR="00041A34">
        <w:rPr>
          <w:color w:val="585756"/>
        </w:rPr>
        <w:t xml:space="preserve"> </w:t>
      </w:r>
      <w:proofErr w:type="gramStart"/>
      <w:r w:rsidR="00870373">
        <w:rPr>
          <w:color w:val="585756"/>
        </w:rPr>
        <w:t>can</w:t>
      </w:r>
      <w:r w:rsidR="00041A34">
        <w:rPr>
          <w:color w:val="585756"/>
        </w:rPr>
        <w:t xml:space="preserve"> be </w:t>
      </w:r>
      <w:r w:rsidR="002674E6">
        <w:rPr>
          <w:color w:val="585756"/>
        </w:rPr>
        <w:t>awarded</w:t>
      </w:r>
      <w:proofErr w:type="gramEnd"/>
      <w:r w:rsidR="00041A34">
        <w:rPr>
          <w:color w:val="585756"/>
        </w:rPr>
        <w:t xml:space="preserve"> during the period of the competition restriction</w:t>
      </w:r>
      <w:r w:rsidR="00870373">
        <w:rPr>
          <w:color w:val="585756"/>
        </w:rPr>
        <w:t>,</w:t>
      </w:r>
      <w:r w:rsidR="00041A34">
        <w:rPr>
          <w:color w:val="585756"/>
        </w:rPr>
        <w:t xml:space="preserve"> however, no</w:t>
      </w:r>
      <w:r w:rsidR="00870373">
        <w:rPr>
          <w:color w:val="585756"/>
        </w:rPr>
        <w:t>t</w:t>
      </w:r>
      <w:r w:rsidR="00041A34">
        <w:rPr>
          <w:color w:val="585756"/>
        </w:rPr>
        <w:t xml:space="preserve"> more than </w:t>
      </w:r>
      <w:r w:rsidR="00870373">
        <w:rPr>
          <w:color w:val="585756"/>
        </w:rPr>
        <w:t xml:space="preserve">for </w:t>
      </w:r>
      <w:r w:rsidR="00041A34">
        <w:rPr>
          <w:color w:val="585756"/>
        </w:rPr>
        <w:t>12 months after the termination of employment.</w:t>
      </w:r>
    </w:p>
    <w:p w:rsidR="001E7748" w:rsidRDefault="00041A34">
      <w:pPr>
        <w:pStyle w:val="Heading2"/>
        <w:spacing w:before="155"/>
      </w:pPr>
      <w:r>
        <w:rPr>
          <w:color w:val="585756"/>
        </w:rPr>
        <w:t xml:space="preserve">Salary and employment </w:t>
      </w:r>
      <w:r w:rsidR="00BB3DBD">
        <w:rPr>
          <w:color w:val="585756"/>
        </w:rPr>
        <w:t xml:space="preserve">conditions </w:t>
      </w:r>
      <w:r>
        <w:rPr>
          <w:color w:val="585756"/>
        </w:rPr>
        <w:t>for employees</w:t>
      </w:r>
    </w:p>
    <w:p w:rsidR="001E7748" w:rsidRDefault="00870373" w:rsidP="00130CEE">
      <w:pPr>
        <w:pStyle w:val="BodyText"/>
        <w:spacing w:before="51" w:line="292" w:lineRule="auto"/>
        <w:ind w:left="102" w:right="737"/>
      </w:pPr>
      <w:r>
        <w:rPr>
          <w:color w:val="585756"/>
        </w:rPr>
        <w:t xml:space="preserve">When preparing the </w:t>
      </w:r>
      <w:r w:rsidR="00BB3DBD">
        <w:rPr>
          <w:color w:val="585756"/>
        </w:rPr>
        <w:t>Board of Director’s</w:t>
      </w:r>
      <w:r w:rsidR="00041A34">
        <w:rPr>
          <w:color w:val="585756"/>
        </w:rPr>
        <w:t xml:space="preserve"> proposal for these remuneration guidelines, salary and employment </w:t>
      </w:r>
      <w:r w:rsidR="00BB3DBD">
        <w:rPr>
          <w:color w:val="585756"/>
        </w:rPr>
        <w:t xml:space="preserve">conditions </w:t>
      </w:r>
      <w:r w:rsidR="00041A34">
        <w:rPr>
          <w:color w:val="585756"/>
        </w:rPr>
        <w:t>for the company’s</w:t>
      </w:r>
      <w:r>
        <w:rPr>
          <w:color w:val="585756"/>
        </w:rPr>
        <w:t xml:space="preserve"> employees </w:t>
      </w:r>
      <w:proofErr w:type="gramStart"/>
      <w:r>
        <w:rPr>
          <w:color w:val="585756"/>
        </w:rPr>
        <w:t>have been considered</w:t>
      </w:r>
      <w:proofErr w:type="gramEnd"/>
      <w:r w:rsidR="00BB3DBD">
        <w:rPr>
          <w:color w:val="585756"/>
        </w:rPr>
        <w:t>. This have been made</w:t>
      </w:r>
      <w:r>
        <w:rPr>
          <w:color w:val="585756"/>
        </w:rPr>
        <w:t xml:space="preserve"> </w:t>
      </w:r>
      <w:r w:rsidR="00041A34">
        <w:rPr>
          <w:color w:val="585756"/>
        </w:rPr>
        <w:t xml:space="preserve">by including information of the total income of the employees, the components of the remuneration and the increase and growth rate over time, </w:t>
      </w:r>
      <w:r w:rsidR="00BB3DBD">
        <w:rPr>
          <w:color w:val="585756"/>
        </w:rPr>
        <w:t xml:space="preserve"> </w:t>
      </w:r>
      <w:r w:rsidR="001040A1">
        <w:rPr>
          <w:color w:val="585756"/>
        </w:rPr>
        <w:t xml:space="preserve">as </w:t>
      </w:r>
      <w:r w:rsidR="00BB3DBD">
        <w:rPr>
          <w:color w:val="585756"/>
        </w:rPr>
        <w:t xml:space="preserve">part of the </w:t>
      </w:r>
      <w:r w:rsidR="00041A34">
        <w:rPr>
          <w:color w:val="585756"/>
        </w:rPr>
        <w:t>Remuneration</w:t>
      </w:r>
      <w:r w:rsidR="00130CEE">
        <w:rPr>
          <w:color w:val="585756"/>
        </w:rPr>
        <w:t xml:space="preserve"> </w:t>
      </w:r>
    </w:p>
    <w:p w:rsidR="007C6AF7" w:rsidRDefault="00BB3DBD" w:rsidP="007C6AF7">
      <w:pPr>
        <w:pStyle w:val="BodyText"/>
        <w:spacing w:line="290" w:lineRule="auto"/>
        <w:ind w:left="102" w:right="793"/>
        <w:rPr>
          <w:color w:val="585756"/>
        </w:rPr>
      </w:pPr>
      <w:r>
        <w:rPr>
          <w:color w:val="585756"/>
        </w:rPr>
        <w:t xml:space="preserve">Committee’s and the Board of Directors’ basis for decision when evaluating whether the guidelines and the limitations set out herein are reasonable. The increase of the gap between the remuneration to Senior Executives and remuneration to other employees </w:t>
      </w:r>
      <w:proofErr w:type="gramStart"/>
      <w:r>
        <w:rPr>
          <w:color w:val="585756"/>
        </w:rPr>
        <w:t>will be discl</w:t>
      </w:r>
      <w:r w:rsidR="007C6AF7">
        <w:rPr>
          <w:color w:val="585756"/>
        </w:rPr>
        <w:t>osed</w:t>
      </w:r>
      <w:proofErr w:type="gramEnd"/>
      <w:r w:rsidR="007C6AF7">
        <w:rPr>
          <w:color w:val="585756"/>
        </w:rPr>
        <w:t xml:space="preserve"> in the remuneration report.</w:t>
      </w:r>
    </w:p>
    <w:p w:rsidR="001E7748" w:rsidRDefault="007C6AF7" w:rsidP="007C6AF7">
      <w:pPr>
        <w:pStyle w:val="BodyText"/>
        <w:spacing w:line="290" w:lineRule="auto"/>
        <w:ind w:left="102" w:right="793"/>
        <w:rPr>
          <w:sz w:val="19"/>
        </w:rPr>
      </w:pPr>
      <w:r>
        <w:rPr>
          <w:sz w:val="19"/>
        </w:rPr>
        <w:t xml:space="preserve"> </w:t>
      </w:r>
    </w:p>
    <w:p w:rsidR="001E7748" w:rsidRDefault="00041A34" w:rsidP="009F159F">
      <w:pPr>
        <w:pStyle w:val="Heading1"/>
        <w:numPr>
          <w:ilvl w:val="0"/>
          <w:numId w:val="1"/>
        </w:numPr>
        <w:tabs>
          <w:tab w:val="left" w:pos="821"/>
          <w:tab w:val="left" w:pos="822"/>
        </w:tabs>
        <w:spacing w:line="264" w:lineRule="auto"/>
        <w:ind w:left="821" w:right="1507"/>
      </w:pPr>
      <w:r>
        <w:rPr>
          <w:color w:val="172749"/>
        </w:rPr>
        <w:t xml:space="preserve">The </w:t>
      </w:r>
      <w:r w:rsidR="00130CEE">
        <w:rPr>
          <w:color w:val="172749"/>
        </w:rPr>
        <w:t>resolution</w:t>
      </w:r>
      <w:r>
        <w:rPr>
          <w:color w:val="172749"/>
        </w:rPr>
        <w:t xml:space="preserve"> process to determine, review and implement the guidelines</w:t>
      </w:r>
    </w:p>
    <w:p w:rsidR="00C65BD9" w:rsidRDefault="00041A34">
      <w:pPr>
        <w:pStyle w:val="BodyText"/>
        <w:spacing w:before="182" w:line="292" w:lineRule="auto"/>
        <w:ind w:left="102" w:right="782"/>
        <w:rPr>
          <w:color w:val="585756"/>
        </w:rPr>
      </w:pPr>
      <w:r>
        <w:rPr>
          <w:color w:val="585756"/>
        </w:rPr>
        <w:t xml:space="preserve">The Board of Directors has established a Remuneration Committee. The Committee’s tasks include preparing the Board of </w:t>
      </w:r>
      <w:r w:rsidR="00130CEE">
        <w:rPr>
          <w:color w:val="585756"/>
        </w:rPr>
        <w:t>Directors’ decision to propose g</w:t>
      </w:r>
      <w:r>
        <w:rPr>
          <w:color w:val="585756"/>
        </w:rPr>
        <w:t xml:space="preserve">uidelines for </w:t>
      </w:r>
      <w:r w:rsidR="007C6AF7">
        <w:rPr>
          <w:color w:val="585756"/>
        </w:rPr>
        <w:t>Senior E</w:t>
      </w:r>
      <w:r>
        <w:rPr>
          <w:color w:val="585756"/>
        </w:rPr>
        <w:t xml:space="preserve">xecutive remuneration. These are reviewed </w:t>
      </w:r>
      <w:r w:rsidR="00C65BD9">
        <w:rPr>
          <w:color w:val="585756"/>
        </w:rPr>
        <w:t>annually and new proposal</w:t>
      </w:r>
      <w:r w:rsidR="00130CEE">
        <w:rPr>
          <w:color w:val="585756"/>
        </w:rPr>
        <w:t>s</w:t>
      </w:r>
      <w:r w:rsidR="00C65BD9">
        <w:rPr>
          <w:color w:val="585756"/>
        </w:rPr>
        <w:t xml:space="preserve"> for guidelines shall be drafted </w:t>
      </w:r>
      <w:r>
        <w:rPr>
          <w:color w:val="585756"/>
        </w:rPr>
        <w:t xml:space="preserve">by the Board </w:t>
      </w:r>
      <w:r w:rsidR="00C65BD9">
        <w:rPr>
          <w:color w:val="585756"/>
        </w:rPr>
        <w:t xml:space="preserve">at least every fourth year and </w:t>
      </w:r>
      <w:r>
        <w:rPr>
          <w:color w:val="585756"/>
        </w:rPr>
        <w:t>presented to the Annual General Meeting for resolution.</w:t>
      </w:r>
      <w:r w:rsidR="00C65BD9">
        <w:rPr>
          <w:color w:val="585756"/>
        </w:rPr>
        <w:t xml:space="preserve"> </w:t>
      </w:r>
      <w:r>
        <w:rPr>
          <w:color w:val="585756"/>
        </w:rPr>
        <w:t xml:space="preserve">The guidelines shall be in force until </w:t>
      </w:r>
      <w:proofErr w:type="gramStart"/>
      <w:r>
        <w:rPr>
          <w:color w:val="585756"/>
        </w:rPr>
        <w:t xml:space="preserve">new guidelines are adopted by the </w:t>
      </w:r>
      <w:r w:rsidR="00130CEE">
        <w:rPr>
          <w:color w:val="585756"/>
        </w:rPr>
        <w:t xml:space="preserve">Annual </w:t>
      </w:r>
      <w:r>
        <w:rPr>
          <w:color w:val="585756"/>
        </w:rPr>
        <w:t>General Meeting</w:t>
      </w:r>
      <w:proofErr w:type="gramEnd"/>
      <w:r>
        <w:rPr>
          <w:color w:val="585756"/>
        </w:rPr>
        <w:t xml:space="preserve">. </w:t>
      </w:r>
    </w:p>
    <w:p w:rsidR="007B3B1F" w:rsidRDefault="00041A34">
      <w:pPr>
        <w:pStyle w:val="BodyText"/>
        <w:spacing w:before="182" w:line="292" w:lineRule="auto"/>
        <w:ind w:left="102" w:right="782"/>
        <w:rPr>
          <w:color w:val="585756"/>
        </w:rPr>
      </w:pPr>
      <w:r>
        <w:rPr>
          <w:color w:val="585756"/>
        </w:rPr>
        <w:t xml:space="preserve">The Remuneration Committee shall also monitor and evaluate programs for variable remuneration </w:t>
      </w:r>
      <w:r w:rsidR="007B3B1F">
        <w:rPr>
          <w:color w:val="585756"/>
        </w:rPr>
        <w:t>to Senior Executives</w:t>
      </w:r>
      <w:r>
        <w:rPr>
          <w:color w:val="585756"/>
        </w:rPr>
        <w:t>, the guidelines for remuneration to Senior Executives, as well as the current remuneration structures and com</w:t>
      </w:r>
      <w:r w:rsidR="007B3B1F">
        <w:rPr>
          <w:color w:val="585756"/>
        </w:rPr>
        <w:t xml:space="preserve">pensation levels in the company, </w:t>
      </w:r>
      <w:r w:rsidR="00130CEE">
        <w:rPr>
          <w:color w:val="585756"/>
        </w:rPr>
        <w:t>and</w:t>
      </w:r>
      <w:r w:rsidR="007B3B1F">
        <w:rPr>
          <w:color w:val="585756"/>
        </w:rPr>
        <w:t xml:space="preserve"> provide recommendations to the Board</w:t>
      </w:r>
      <w:r w:rsidR="001040A1">
        <w:rPr>
          <w:color w:val="585756"/>
        </w:rPr>
        <w:t xml:space="preserve"> of Directors</w:t>
      </w:r>
      <w:r w:rsidR="007B3B1F">
        <w:rPr>
          <w:color w:val="585756"/>
        </w:rPr>
        <w:t xml:space="preserve"> </w:t>
      </w:r>
      <w:r w:rsidR="001040A1">
        <w:rPr>
          <w:color w:val="585756"/>
        </w:rPr>
        <w:t>in relation to</w:t>
      </w:r>
      <w:r w:rsidR="007B3B1F">
        <w:rPr>
          <w:color w:val="585756"/>
        </w:rPr>
        <w:t xml:space="preserve"> remuneration to the CEO. </w:t>
      </w:r>
      <w:r>
        <w:rPr>
          <w:color w:val="585756"/>
        </w:rPr>
        <w:t xml:space="preserve"> </w:t>
      </w:r>
      <w:r w:rsidR="007B3B1F">
        <w:rPr>
          <w:color w:val="585756"/>
        </w:rPr>
        <w:t xml:space="preserve">Regarding resolution on remuneration to other Senior Executives in accordance with the guidelines (other than the </w:t>
      </w:r>
      <w:r w:rsidR="00130CEE">
        <w:rPr>
          <w:color w:val="585756"/>
        </w:rPr>
        <w:t>specifically</w:t>
      </w:r>
      <w:r w:rsidR="007B3B1F">
        <w:rPr>
          <w:color w:val="585756"/>
        </w:rPr>
        <w:t xml:space="preserve"> regulated above) the CEO shall consult </w:t>
      </w:r>
      <w:r w:rsidR="001040A1">
        <w:rPr>
          <w:color w:val="585756"/>
        </w:rPr>
        <w:t xml:space="preserve">with </w:t>
      </w:r>
      <w:r w:rsidR="007B3B1F">
        <w:rPr>
          <w:color w:val="585756"/>
        </w:rPr>
        <w:t>the Remuneration Committee.</w:t>
      </w:r>
    </w:p>
    <w:p w:rsidR="001E7748" w:rsidRPr="009F159F" w:rsidRDefault="00041A34">
      <w:pPr>
        <w:pStyle w:val="BodyText"/>
        <w:spacing w:before="182" w:line="292" w:lineRule="auto"/>
        <w:ind w:left="102" w:right="782"/>
        <w:rPr>
          <w:color w:val="585756"/>
        </w:rPr>
      </w:pPr>
      <w:r>
        <w:rPr>
          <w:color w:val="585756"/>
        </w:rPr>
        <w:t>The CEO and other members of the group management do not participate in the Board of Directors</w:t>
      </w:r>
      <w:r w:rsidR="00130CEE">
        <w:rPr>
          <w:color w:val="585756"/>
        </w:rPr>
        <w:t>’</w:t>
      </w:r>
      <w:r>
        <w:rPr>
          <w:color w:val="585756"/>
        </w:rPr>
        <w:t xml:space="preserve"> processing of, and resolutions on</w:t>
      </w:r>
      <w:r w:rsidR="007B3B1F">
        <w:rPr>
          <w:color w:val="585756"/>
        </w:rPr>
        <w:t>,</w:t>
      </w:r>
      <w:r>
        <w:rPr>
          <w:color w:val="585756"/>
        </w:rPr>
        <w:t xml:space="preserve"> remuneration-related matters </w:t>
      </w:r>
      <w:r w:rsidR="00130CEE">
        <w:rPr>
          <w:color w:val="585756"/>
        </w:rPr>
        <w:t>when</w:t>
      </w:r>
      <w:r>
        <w:rPr>
          <w:color w:val="585756"/>
        </w:rPr>
        <w:t xml:space="preserve"> such matters concerns them.</w:t>
      </w:r>
    </w:p>
    <w:p w:rsidR="007B3B1F" w:rsidRDefault="0018477F">
      <w:pPr>
        <w:pStyle w:val="BodyText"/>
        <w:spacing w:before="182" w:line="292" w:lineRule="auto"/>
        <w:ind w:left="102" w:right="782"/>
      </w:pPr>
      <w:r>
        <w:rPr>
          <w:color w:val="585756"/>
        </w:rPr>
        <w:t xml:space="preserve">The Board of Directors shall annually draw up a remuneration report that </w:t>
      </w:r>
      <w:proofErr w:type="gramStart"/>
      <w:r>
        <w:rPr>
          <w:color w:val="585756"/>
        </w:rPr>
        <w:t>shall be presented</w:t>
      </w:r>
      <w:proofErr w:type="gramEnd"/>
      <w:r>
        <w:rPr>
          <w:color w:val="585756"/>
        </w:rPr>
        <w:t xml:space="preserve"> to the </w:t>
      </w:r>
      <w:r w:rsidR="00130CEE">
        <w:rPr>
          <w:color w:val="585756"/>
        </w:rPr>
        <w:t>Annual G</w:t>
      </w:r>
      <w:r>
        <w:rPr>
          <w:color w:val="585756"/>
        </w:rPr>
        <w:t xml:space="preserve">eneral </w:t>
      </w:r>
      <w:r w:rsidR="00130CEE">
        <w:rPr>
          <w:color w:val="585756"/>
        </w:rPr>
        <w:t>M</w:t>
      </w:r>
      <w:r>
        <w:rPr>
          <w:color w:val="585756"/>
        </w:rPr>
        <w:t>eeting for approval.</w:t>
      </w:r>
    </w:p>
    <w:p w:rsidR="001E7748" w:rsidRDefault="001E7748">
      <w:pPr>
        <w:pStyle w:val="BodyText"/>
        <w:spacing w:before="1"/>
        <w:rPr>
          <w:sz w:val="29"/>
        </w:rPr>
      </w:pPr>
    </w:p>
    <w:p w:rsidR="001E7748" w:rsidRDefault="00041A34" w:rsidP="009F159F">
      <w:pPr>
        <w:pStyle w:val="Heading1"/>
        <w:numPr>
          <w:ilvl w:val="0"/>
          <w:numId w:val="1"/>
        </w:numPr>
        <w:tabs>
          <w:tab w:val="left" w:pos="821"/>
          <w:tab w:val="left" w:pos="822"/>
        </w:tabs>
      </w:pPr>
      <w:r>
        <w:rPr>
          <w:color w:val="172749"/>
        </w:rPr>
        <w:t>Deviations from the</w:t>
      </w:r>
      <w:r>
        <w:rPr>
          <w:color w:val="172749"/>
          <w:spacing w:val="-5"/>
        </w:rPr>
        <w:t xml:space="preserve"> </w:t>
      </w:r>
      <w:r>
        <w:rPr>
          <w:color w:val="172749"/>
        </w:rPr>
        <w:t>guidelines</w:t>
      </w:r>
    </w:p>
    <w:p w:rsidR="001E7748" w:rsidRPr="009F159F" w:rsidRDefault="00041A34">
      <w:pPr>
        <w:pStyle w:val="BodyText"/>
        <w:spacing w:before="208" w:line="290" w:lineRule="auto"/>
        <w:ind w:left="102" w:right="727"/>
        <w:rPr>
          <w:color w:val="585756"/>
        </w:rPr>
      </w:pPr>
      <w:r>
        <w:rPr>
          <w:color w:val="585756"/>
        </w:rPr>
        <w:t xml:space="preserve">The Board of Directors may temporarily resolve to deviate from the guidelines, </w:t>
      </w:r>
      <w:r w:rsidR="000471CC">
        <w:rPr>
          <w:color w:val="585756"/>
        </w:rPr>
        <w:t>entirely or partly</w:t>
      </w:r>
      <w:r>
        <w:rPr>
          <w:color w:val="585756"/>
        </w:rPr>
        <w:t xml:space="preserve">, if in a specific case </w:t>
      </w:r>
      <w:r w:rsidR="00BB3DBD">
        <w:rPr>
          <w:color w:val="585756"/>
        </w:rPr>
        <w:t xml:space="preserve">there </w:t>
      </w:r>
      <w:r>
        <w:rPr>
          <w:color w:val="585756"/>
        </w:rPr>
        <w:t>is</w:t>
      </w:r>
      <w:r w:rsidR="00BB3DBD">
        <w:rPr>
          <w:color w:val="585756"/>
        </w:rPr>
        <w:t xml:space="preserve"> special</w:t>
      </w:r>
      <w:r>
        <w:rPr>
          <w:color w:val="585756"/>
        </w:rPr>
        <w:t xml:space="preserve"> cause for the deviation and a deviation is necessary to serve the company’s long-term interests,</w:t>
      </w:r>
      <w:r w:rsidR="00601CDE">
        <w:rPr>
          <w:color w:val="585756"/>
        </w:rPr>
        <w:t xml:space="preserve"> a sustainable development of the company</w:t>
      </w:r>
      <w:r>
        <w:rPr>
          <w:color w:val="585756"/>
        </w:rPr>
        <w:t xml:space="preserve"> or to ensure the company’s financial viability. As set out above, the Remuneration Committee’s tasks include preparing the Board of Directors’ resolutions in remuneration-related matters. This </w:t>
      </w:r>
      <w:r w:rsidR="00BB3DBD">
        <w:rPr>
          <w:color w:val="585756"/>
        </w:rPr>
        <w:t>includes</w:t>
      </w:r>
      <w:r>
        <w:rPr>
          <w:color w:val="585756"/>
        </w:rPr>
        <w:t xml:space="preserve"> any resolutions to deviate from the </w:t>
      </w:r>
      <w:r w:rsidR="00C54A8C">
        <w:rPr>
          <w:color w:val="585756"/>
        </w:rPr>
        <w:t>g</w:t>
      </w:r>
      <w:r>
        <w:rPr>
          <w:color w:val="585756"/>
        </w:rPr>
        <w:t>uidelines.</w:t>
      </w:r>
    </w:p>
    <w:p w:rsidR="00AA4EB2" w:rsidRDefault="00AA4EB2">
      <w:pPr>
        <w:pStyle w:val="BodyText"/>
        <w:spacing w:before="208" w:line="290" w:lineRule="auto"/>
        <w:ind w:left="102" w:right="727"/>
        <w:rPr>
          <w:color w:val="585756"/>
        </w:rPr>
      </w:pPr>
    </w:p>
    <w:p w:rsidR="0018477F" w:rsidRDefault="0018477F" w:rsidP="0018477F">
      <w:pPr>
        <w:pStyle w:val="Heading1"/>
        <w:numPr>
          <w:ilvl w:val="0"/>
          <w:numId w:val="1"/>
        </w:numPr>
        <w:tabs>
          <w:tab w:val="left" w:pos="821"/>
          <w:tab w:val="left" w:pos="822"/>
        </w:tabs>
        <w:rPr>
          <w:color w:val="172749"/>
        </w:rPr>
      </w:pPr>
      <w:r w:rsidRPr="0018477F">
        <w:rPr>
          <w:color w:val="172749"/>
        </w:rPr>
        <w:t>Description of material changes of the guidelines and how the shareholders</w:t>
      </w:r>
      <w:r w:rsidR="00790F80">
        <w:rPr>
          <w:color w:val="172749"/>
        </w:rPr>
        <w:t>’</w:t>
      </w:r>
      <w:r w:rsidRPr="0018477F">
        <w:rPr>
          <w:color w:val="172749"/>
        </w:rPr>
        <w:t xml:space="preserve"> </w:t>
      </w:r>
      <w:r w:rsidR="00790F80" w:rsidRPr="0018477F">
        <w:rPr>
          <w:color w:val="172749"/>
        </w:rPr>
        <w:t xml:space="preserve">opinions </w:t>
      </w:r>
      <w:r w:rsidRPr="0018477F">
        <w:rPr>
          <w:color w:val="172749"/>
        </w:rPr>
        <w:t>are considered</w:t>
      </w:r>
    </w:p>
    <w:p w:rsidR="0018477F" w:rsidRPr="0018477F" w:rsidRDefault="0018477F" w:rsidP="0018477F">
      <w:pPr>
        <w:pStyle w:val="Heading1"/>
        <w:tabs>
          <w:tab w:val="left" w:pos="821"/>
          <w:tab w:val="left" w:pos="822"/>
        </w:tabs>
        <w:ind w:firstLine="0"/>
        <w:rPr>
          <w:color w:val="172749"/>
        </w:rPr>
      </w:pPr>
    </w:p>
    <w:p w:rsidR="0021568A" w:rsidRDefault="00601CDE" w:rsidP="007C6AF7">
      <w:pPr>
        <w:pStyle w:val="BodyText"/>
        <w:spacing w:before="208" w:line="290" w:lineRule="auto"/>
        <w:ind w:left="102" w:right="727"/>
        <w:rPr>
          <w:color w:val="585756"/>
        </w:rPr>
      </w:pPr>
      <w:r>
        <w:rPr>
          <w:color w:val="585756"/>
        </w:rPr>
        <w:t xml:space="preserve">No material amendments </w:t>
      </w:r>
      <w:proofErr w:type="gramStart"/>
      <w:r>
        <w:rPr>
          <w:color w:val="585756"/>
        </w:rPr>
        <w:t>have been made</w:t>
      </w:r>
      <w:proofErr w:type="gramEnd"/>
      <w:r>
        <w:rPr>
          <w:color w:val="585756"/>
        </w:rPr>
        <w:t xml:space="preserve"> to the </w:t>
      </w:r>
      <w:r w:rsidR="00790F80">
        <w:rPr>
          <w:color w:val="585756"/>
        </w:rPr>
        <w:t>guidelines for remuneration to S</w:t>
      </w:r>
      <w:r w:rsidR="00AA4EB2">
        <w:rPr>
          <w:color w:val="585756"/>
        </w:rPr>
        <w:t>e</w:t>
      </w:r>
      <w:r w:rsidR="00790F80">
        <w:rPr>
          <w:color w:val="585756"/>
        </w:rPr>
        <w:t>nior E</w:t>
      </w:r>
      <w:r w:rsidR="00AA4EB2">
        <w:rPr>
          <w:color w:val="585756"/>
        </w:rPr>
        <w:t>xecutives</w:t>
      </w:r>
      <w:r>
        <w:rPr>
          <w:color w:val="585756"/>
        </w:rPr>
        <w:t>. In relation to the guidelines for remuneration to Sen</w:t>
      </w:r>
      <w:r w:rsidR="007C6AF7">
        <w:rPr>
          <w:color w:val="585756"/>
        </w:rPr>
        <w:t>i</w:t>
      </w:r>
      <w:r>
        <w:rPr>
          <w:color w:val="585756"/>
        </w:rPr>
        <w:t xml:space="preserve">or Executives </w:t>
      </w:r>
      <w:r w:rsidR="00AA4EB2">
        <w:rPr>
          <w:color w:val="585756"/>
        </w:rPr>
        <w:t>adopted on the Annual General Meeting 2020</w:t>
      </w:r>
      <w:r w:rsidR="00790F80">
        <w:rPr>
          <w:color w:val="585756"/>
        </w:rPr>
        <w:t>,</w:t>
      </w:r>
      <w:r w:rsidR="00AA4EB2">
        <w:rPr>
          <w:color w:val="585756"/>
        </w:rPr>
        <w:t xml:space="preserve"> the validity of the guidelines have been</w:t>
      </w:r>
      <w:r w:rsidR="0021568A">
        <w:rPr>
          <w:color w:val="585756"/>
        </w:rPr>
        <w:t xml:space="preserve"> </w:t>
      </w:r>
      <w:r w:rsidR="00790F80">
        <w:rPr>
          <w:color w:val="585756"/>
        </w:rPr>
        <w:t xml:space="preserve">amended to correspond with </w:t>
      </w:r>
      <w:r w:rsidR="0021568A">
        <w:rPr>
          <w:color w:val="585756"/>
        </w:rPr>
        <w:t xml:space="preserve">applicable </w:t>
      </w:r>
      <w:r w:rsidR="00790F80">
        <w:rPr>
          <w:color w:val="585756"/>
        </w:rPr>
        <w:t xml:space="preserve">regulations </w:t>
      </w:r>
      <w:r w:rsidR="00790F80" w:rsidRPr="00790F80">
        <w:rPr>
          <w:color w:val="585756"/>
        </w:rPr>
        <w:t>entailing</w:t>
      </w:r>
      <w:r w:rsidR="0021568A">
        <w:rPr>
          <w:color w:val="585756"/>
        </w:rPr>
        <w:t xml:space="preserve"> that the Board</w:t>
      </w:r>
      <w:r>
        <w:rPr>
          <w:color w:val="585756"/>
        </w:rPr>
        <w:t xml:space="preserve"> of Directors</w:t>
      </w:r>
      <w:r w:rsidR="0021568A">
        <w:rPr>
          <w:color w:val="585756"/>
        </w:rPr>
        <w:t xml:space="preserve"> shall draft a proposal for new guidelines every fourth year </w:t>
      </w:r>
      <w:r>
        <w:rPr>
          <w:color w:val="585756"/>
        </w:rPr>
        <w:t>and not every year as earlier stated</w:t>
      </w:r>
      <w:r w:rsidR="0021568A">
        <w:rPr>
          <w:color w:val="585756"/>
        </w:rPr>
        <w:t>.</w:t>
      </w:r>
    </w:p>
    <w:p w:rsidR="00AA4EB2" w:rsidRDefault="0021568A" w:rsidP="007C6AF7">
      <w:pPr>
        <w:pStyle w:val="BodyText"/>
        <w:spacing w:before="208" w:line="290" w:lineRule="auto"/>
        <w:ind w:left="102" w:right="727"/>
        <w:rPr>
          <w:color w:val="585756"/>
        </w:rPr>
      </w:pPr>
      <w:r>
        <w:rPr>
          <w:color w:val="585756"/>
        </w:rPr>
        <w:t xml:space="preserve">No </w:t>
      </w:r>
      <w:r w:rsidR="00790F80" w:rsidRPr="00790F80">
        <w:rPr>
          <w:color w:val="585756"/>
        </w:rPr>
        <w:t>remarks</w:t>
      </w:r>
      <w:r w:rsidR="00790F80">
        <w:rPr>
          <w:color w:val="585756"/>
        </w:rPr>
        <w:t xml:space="preserve"> on</w:t>
      </w:r>
      <w:r>
        <w:rPr>
          <w:color w:val="585756"/>
        </w:rPr>
        <w:t xml:space="preserve"> the remuneration guidelines have emerged</w:t>
      </w:r>
      <w:r w:rsidR="00601CDE">
        <w:rPr>
          <w:color w:val="585756"/>
        </w:rPr>
        <w:t>.</w:t>
      </w:r>
      <w:r>
        <w:rPr>
          <w:color w:val="585756"/>
        </w:rPr>
        <w:t xml:space="preserve"> </w:t>
      </w:r>
    </w:p>
    <w:p w:rsidR="00601CDE" w:rsidRPr="009F159F" w:rsidRDefault="00601CDE">
      <w:pPr>
        <w:pStyle w:val="BodyText"/>
        <w:spacing w:before="6"/>
        <w:rPr>
          <w:color w:val="585756"/>
        </w:rPr>
      </w:pPr>
    </w:p>
    <w:p w:rsidR="001E7748" w:rsidRDefault="00041A34" w:rsidP="009F159F">
      <w:pPr>
        <w:pStyle w:val="Heading1"/>
        <w:numPr>
          <w:ilvl w:val="0"/>
          <w:numId w:val="1"/>
        </w:numPr>
        <w:tabs>
          <w:tab w:val="left" w:pos="821"/>
          <w:tab w:val="left" w:pos="822"/>
        </w:tabs>
      </w:pPr>
      <w:r>
        <w:rPr>
          <w:color w:val="172749"/>
        </w:rPr>
        <w:t>Other</w:t>
      </w:r>
    </w:p>
    <w:p w:rsidR="001E7748" w:rsidRDefault="00041A34">
      <w:pPr>
        <w:pStyle w:val="BodyText"/>
        <w:spacing w:before="206" w:line="290" w:lineRule="auto"/>
        <w:ind w:left="102" w:right="981"/>
      </w:pPr>
      <w:r>
        <w:rPr>
          <w:color w:val="585756"/>
        </w:rPr>
        <w:t>The guidelines entail a level of remuneration, which in principle is equivalent to the remuner</w:t>
      </w:r>
      <w:r w:rsidR="0021568A">
        <w:rPr>
          <w:color w:val="585756"/>
        </w:rPr>
        <w:t>ation for the financial year 202</w:t>
      </w:r>
      <w:r>
        <w:rPr>
          <w:color w:val="585756"/>
        </w:rPr>
        <w:t>0.</w:t>
      </w:r>
    </w:p>
    <w:p w:rsidR="001E7748" w:rsidRDefault="00041A34">
      <w:pPr>
        <w:pStyle w:val="BodyText"/>
        <w:spacing w:before="163" w:line="292" w:lineRule="auto"/>
        <w:ind w:left="102" w:right="859"/>
      </w:pPr>
      <w:r>
        <w:rPr>
          <w:color w:val="585756"/>
        </w:rPr>
        <w:t>Information regarding remuneration, etc. to Senior Executives during the fin</w:t>
      </w:r>
      <w:r w:rsidR="00FB4A0E">
        <w:rPr>
          <w:color w:val="585756"/>
        </w:rPr>
        <w:t>ancial year 2020 is set out</w:t>
      </w:r>
      <w:r w:rsidR="00601CDE">
        <w:rPr>
          <w:color w:val="585756"/>
        </w:rPr>
        <w:t xml:space="preserve"> in</w:t>
      </w:r>
      <w:r>
        <w:rPr>
          <w:color w:val="585756"/>
        </w:rPr>
        <w:t xml:space="preserve"> note </w:t>
      </w:r>
      <w:r w:rsidR="000E0ECC" w:rsidRPr="000E0ECC">
        <w:rPr>
          <w:color w:val="585756"/>
        </w:rPr>
        <w:t>29</w:t>
      </w:r>
      <w:r>
        <w:rPr>
          <w:color w:val="585756"/>
        </w:rPr>
        <w:t xml:space="preserve"> of the Annual Report 20</w:t>
      </w:r>
      <w:r w:rsidR="0021568A">
        <w:rPr>
          <w:color w:val="585756"/>
        </w:rPr>
        <w:t>20</w:t>
      </w:r>
      <w:r>
        <w:rPr>
          <w:color w:val="585756"/>
        </w:rPr>
        <w:t>, including any previously resolved remuneration that has not yet been due for payment</w:t>
      </w:r>
      <w:r w:rsidR="00601CDE">
        <w:rPr>
          <w:color w:val="585756"/>
        </w:rPr>
        <w:t>,</w:t>
      </w:r>
      <w:r w:rsidR="0021568A">
        <w:rPr>
          <w:color w:val="585756"/>
        </w:rPr>
        <w:t xml:space="preserve"> and </w:t>
      </w:r>
      <w:r w:rsidR="00601CDE">
        <w:rPr>
          <w:color w:val="585756"/>
        </w:rPr>
        <w:t xml:space="preserve">in </w:t>
      </w:r>
      <w:r w:rsidR="0021568A">
        <w:rPr>
          <w:color w:val="585756"/>
        </w:rPr>
        <w:t>the remuneration report</w:t>
      </w:r>
      <w:r>
        <w:rPr>
          <w:color w:val="585756"/>
        </w:rPr>
        <w:t>.</w:t>
      </w:r>
    </w:p>
    <w:p w:rsidR="001E7748" w:rsidRDefault="00041A34">
      <w:pPr>
        <w:pStyle w:val="BodyText"/>
        <w:spacing w:before="159"/>
        <w:ind w:left="2388" w:right="3023"/>
        <w:jc w:val="center"/>
      </w:pPr>
      <w:r>
        <w:rPr>
          <w:color w:val="585756"/>
        </w:rPr>
        <w:t>––––––––––––</w:t>
      </w:r>
    </w:p>
    <w:p w:rsidR="001E7748" w:rsidRDefault="001E7748">
      <w:pPr>
        <w:pStyle w:val="BodyText"/>
        <w:spacing w:before="7"/>
        <w:rPr>
          <w:sz w:val="28"/>
        </w:rPr>
      </w:pPr>
    </w:p>
    <w:p w:rsidR="001E7748" w:rsidRDefault="00041A34">
      <w:pPr>
        <w:pStyle w:val="BodyText"/>
        <w:ind w:left="2388" w:right="3020"/>
        <w:jc w:val="center"/>
      </w:pPr>
      <w:r>
        <w:rPr>
          <w:color w:val="585756"/>
        </w:rPr>
        <w:t>Go</w:t>
      </w:r>
      <w:r w:rsidR="0021568A">
        <w:rPr>
          <w:color w:val="585756"/>
        </w:rPr>
        <w:t>thenburg in March 2021</w:t>
      </w:r>
    </w:p>
    <w:p w:rsidR="001E7748" w:rsidRDefault="00041A34">
      <w:pPr>
        <w:spacing w:before="49"/>
        <w:ind w:left="2388" w:right="3025"/>
        <w:jc w:val="center"/>
        <w:rPr>
          <w:b/>
          <w:sz w:val="20"/>
        </w:rPr>
      </w:pPr>
      <w:r>
        <w:rPr>
          <w:b/>
          <w:color w:val="585756"/>
          <w:sz w:val="20"/>
        </w:rPr>
        <w:t>The Board of Directors of Getinge AB (publ)</w:t>
      </w:r>
    </w:p>
    <w:sectPr w:rsidR="001E7748" w:rsidSect="007C6AF7">
      <w:pgSz w:w="11900" w:h="16850"/>
      <w:pgMar w:top="1600" w:right="680" w:bottom="156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95303"/>
    <w:multiLevelType w:val="hybridMultilevel"/>
    <w:tmpl w:val="AD16BD68"/>
    <w:lvl w:ilvl="0" w:tplc="B1823D8A">
      <w:start w:val="1"/>
      <w:numFmt w:val="decimal"/>
      <w:lvlText w:val="%1."/>
      <w:lvlJc w:val="left"/>
      <w:pPr>
        <w:ind w:left="822" w:hanging="720"/>
      </w:pPr>
      <w:rPr>
        <w:rFonts w:ascii="Arial" w:eastAsia="Arial" w:hAnsi="Arial" w:cs="Arial" w:hint="default"/>
        <w:b/>
        <w:bCs/>
        <w:color w:val="172749"/>
        <w:spacing w:val="-1"/>
        <w:w w:val="100"/>
        <w:sz w:val="22"/>
        <w:szCs w:val="22"/>
        <w:lang w:val="en-US" w:eastAsia="en-US" w:bidi="en-US"/>
      </w:rPr>
    </w:lvl>
    <w:lvl w:ilvl="1" w:tplc="3AAA0036">
      <w:numFmt w:val="bullet"/>
      <w:lvlText w:val="•"/>
      <w:lvlJc w:val="left"/>
      <w:pPr>
        <w:ind w:left="1699" w:hanging="720"/>
      </w:pPr>
      <w:rPr>
        <w:rFonts w:hint="default"/>
        <w:lang w:val="en-US" w:eastAsia="en-US" w:bidi="en-US"/>
      </w:rPr>
    </w:lvl>
    <w:lvl w:ilvl="2" w:tplc="6E202E98">
      <w:numFmt w:val="bullet"/>
      <w:lvlText w:val="•"/>
      <w:lvlJc w:val="left"/>
      <w:pPr>
        <w:ind w:left="2579" w:hanging="720"/>
      </w:pPr>
      <w:rPr>
        <w:rFonts w:hint="default"/>
        <w:lang w:val="en-US" w:eastAsia="en-US" w:bidi="en-US"/>
      </w:rPr>
    </w:lvl>
    <w:lvl w:ilvl="3" w:tplc="DF6CEF7C">
      <w:numFmt w:val="bullet"/>
      <w:lvlText w:val="•"/>
      <w:lvlJc w:val="left"/>
      <w:pPr>
        <w:ind w:left="3459" w:hanging="720"/>
      </w:pPr>
      <w:rPr>
        <w:rFonts w:hint="default"/>
        <w:lang w:val="en-US" w:eastAsia="en-US" w:bidi="en-US"/>
      </w:rPr>
    </w:lvl>
    <w:lvl w:ilvl="4" w:tplc="20E0753C">
      <w:numFmt w:val="bullet"/>
      <w:lvlText w:val="•"/>
      <w:lvlJc w:val="left"/>
      <w:pPr>
        <w:ind w:left="4339" w:hanging="720"/>
      </w:pPr>
      <w:rPr>
        <w:rFonts w:hint="default"/>
        <w:lang w:val="en-US" w:eastAsia="en-US" w:bidi="en-US"/>
      </w:rPr>
    </w:lvl>
    <w:lvl w:ilvl="5" w:tplc="12CC7A50">
      <w:numFmt w:val="bullet"/>
      <w:lvlText w:val="•"/>
      <w:lvlJc w:val="left"/>
      <w:pPr>
        <w:ind w:left="5219" w:hanging="720"/>
      </w:pPr>
      <w:rPr>
        <w:rFonts w:hint="default"/>
        <w:lang w:val="en-US" w:eastAsia="en-US" w:bidi="en-US"/>
      </w:rPr>
    </w:lvl>
    <w:lvl w:ilvl="6" w:tplc="D9647572">
      <w:numFmt w:val="bullet"/>
      <w:lvlText w:val="•"/>
      <w:lvlJc w:val="left"/>
      <w:pPr>
        <w:ind w:left="6099" w:hanging="720"/>
      </w:pPr>
      <w:rPr>
        <w:rFonts w:hint="default"/>
        <w:lang w:val="en-US" w:eastAsia="en-US" w:bidi="en-US"/>
      </w:rPr>
    </w:lvl>
    <w:lvl w:ilvl="7" w:tplc="1DA46B64">
      <w:numFmt w:val="bullet"/>
      <w:lvlText w:val="•"/>
      <w:lvlJc w:val="left"/>
      <w:pPr>
        <w:ind w:left="6979" w:hanging="720"/>
      </w:pPr>
      <w:rPr>
        <w:rFonts w:hint="default"/>
        <w:lang w:val="en-US" w:eastAsia="en-US" w:bidi="en-US"/>
      </w:rPr>
    </w:lvl>
    <w:lvl w:ilvl="8" w:tplc="5074F4B6">
      <w:numFmt w:val="bullet"/>
      <w:lvlText w:val="•"/>
      <w:lvlJc w:val="left"/>
      <w:pPr>
        <w:ind w:left="7859" w:hanging="720"/>
      </w:pPr>
      <w:rPr>
        <w:rFonts w:hint="default"/>
        <w:lang w:val="en-US" w:eastAsia="en-US" w:bidi="en-US"/>
      </w:rPr>
    </w:lvl>
  </w:abstractNum>
  <w:abstractNum w:abstractNumId="1" w15:restartNumberingAfterBreak="0">
    <w:nsid w:val="6094612C"/>
    <w:multiLevelType w:val="hybridMultilevel"/>
    <w:tmpl w:val="65B2BDC2"/>
    <w:lvl w:ilvl="0" w:tplc="5108186C">
      <w:start w:val="1"/>
      <w:numFmt w:val="decimal"/>
      <w:lvlText w:val="%1."/>
      <w:lvlJc w:val="left"/>
      <w:pPr>
        <w:ind w:left="822" w:hanging="720"/>
        <w:jc w:val="left"/>
      </w:pPr>
      <w:rPr>
        <w:rFonts w:ascii="Arial" w:eastAsia="Arial" w:hAnsi="Arial" w:cs="Arial" w:hint="default"/>
        <w:b/>
        <w:bCs/>
        <w:color w:val="172749"/>
        <w:spacing w:val="-1"/>
        <w:w w:val="100"/>
        <w:sz w:val="22"/>
        <w:szCs w:val="22"/>
        <w:lang w:val="en-US" w:eastAsia="en-US" w:bidi="en-US"/>
      </w:rPr>
    </w:lvl>
    <w:lvl w:ilvl="1" w:tplc="4FD06E20">
      <w:numFmt w:val="bullet"/>
      <w:lvlText w:val="•"/>
      <w:lvlJc w:val="left"/>
      <w:pPr>
        <w:ind w:left="1699" w:hanging="720"/>
      </w:pPr>
      <w:rPr>
        <w:rFonts w:hint="default"/>
        <w:lang w:val="en-US" w:eastAsia="en-US" w:bidi="en-US"/>
      </w:rPr>
    </w:lvl>
    <w:lvl w:ilvl="2" w:tplc="19D68ABA">
      <w:numFmt w:val="bullet"/>
      <w:lvlText w:val="•"/>
      <w:lvlJc w:val="left"/>
      <w:pPr>
        <w:ind w:left="2579" w:hanging="720"/>
      </w:pPr>
      <w:rPr>
        <w:rFonts w:hint="default"/>
        <w:lang w:val="en-US" w:eastAsia="en-US" w:bidi="en-US"/>
      </w:rPr>
    </w:lvl>
    <w:lvl w:ilvl="3" w:tplc="8EC0CC08">
      <w:numFmt w:val="bullet"/>
      <w:lvlText w:val="•"/>
      <w:lvlJc w:val="left"/>
      <w:pPr>
        <w:ind w:left="3459" w:hanging="720"/>
      </w:pPr>
      <w:rPr>
        <w:rFonts w:hint="default"/>
        <w:lang w:val="en-US" w:eastAsia="en-US" w:bidi="en-US"/>
      </w:rPr>
    </w:lvl>
    <w:lvl w:ilvl="4" w:tplc="ED5A3776">
      <w:numFmt w:val="bullet"/>
      <w:lvlText w:val="•"/>
      <w:lvlJc w:val="left"/>
      <w:pPr>
        <w:ind w:left="4339" w:hanging="720"/>
      </w:pPr>
      <w:rPr>
        <w:rFonts w:hint="default"/>
        <w:lang w:val="en-US" w:eastAsia="en-US" w:bidi="en-US"/>
      </w:rPr>
    </w:lvl>
    <w:lvl w:ilvl="5" w:tplc="09F8ACFC">
      <w:numFmt w:val="bullet"/>
      <w:lvlText w:val="•"/>
      <w:lvlJc w:val="left"/>
      <w:pPr>
        <w:ind w:left="5219" w:hanging="720"/>
      </w:pPr>
      <w:rPr>
        <w:rFonts w:hint="default"/>
        <w:lang w:val="en-US" w:eastAsia="en-US" w:bidi="en-US"/>
      </w:rPr>
    </w:lvl>
    <w:lvl w:ilvl="6" w:tplc="C158E07A">
      <w:numFmt w:val="bullet"/>
      <w:lvlText w:val="•"/>
      <w:lvlJc w:val="left"/>
      <w:pPr>
        <w:ind w:left="6099" w:hanging="720"/>
      </w:pPr>
      <w:rPr>
        <w:rFonts w:hint="default"/>
        <w:lang w:val="en-US" w:eastAsia="en-US" w:bidi="en-US"/>
      </w:rPr>
    </w:lvl>
    <w:lvl w:ilvl="7" w:tplc="58A060E6">
      <w:numFmt w:val="bullet"/>
      <w:lvlText w:val="•"/>
      <w:lvlJc w:val="left"/>
      <w:pPr>
        <w:ind w:left="6979" w:hanging="720"/>
      </w:pPr>
      <w:rPr>
        <w:rFonts w:hint="default"/>
        <w:lang w:val="en-US" w:eastAsia="en-US" w:bidi="en-US"/>
      </w:rPr>
    </w:lvl>
    <w:lvl w:ilvl="8" w:tplc="F2E021EE">
      <w:numFmt w:val="bullet"/>
      <w:lvlText w:val="•"/>
      <w:lvlJc w:val="left"/>
      <w:pPr>
        <w:ind w:left="7859" w:hanging="72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48"/>
    <w:rsid w:val="00041A34"/>
    <w:rsid w:val="000471CC"/>
    <w:rsid w:val="000D2D98"/>
    <w:rsid w:val="000E0ECC"/>
    <w:rsid w:val="001040A1"/>
    <w:rsid w:val="00130CEE"/>
    <w:rsid w:val="00146A8A"/>
    <w:rsid w:val="0018477F"/>
    <w:rsid w:val="001E7748"/>
    <w:rsid w:val="0021568A"/>
    <w:rsid w:val="002674E6"/>
    <w:rsid w:val="00381206"/>
    <w:rsid w:val="003838FF"/>
    <w:rsid w:val="003860CA"/>
    <w:rsid w:val="003D7AAA"/>
    <w:rsid w:val="004270F1"/>
    <w:rsid w:val="00500F87"/>
    <w:rsid w:val="00601CDE"/>
    <w:rsid w:val="00637628"/>
    <w:rsid w:val="00713AFD"/>
    <w:rsid w:val="00760228"/>
    <w:rsid w:val="00790F80"/>
    <w:rsid w:val="007B3B1F"/>
    <w:rsid w:val="007C6AF7"/>
    <w:rsid w:val="007E36C9"/>
    <w:rsid w:val="00870373"/>
    <w:rsid w:val="00966F67"/>
    <w:rsid w:val="009767D3"/>
    <w:rsid w:val="00986292"/>
    <w:rsid w:val="009F159F"/>
    <w:rsid w:val="00A147E8"/>
    <w:rsid w:val="00AA4EB2"/>
    <w:rsid w:val="00B736A3"/>
    <w:rsid w:val="00BA1F13"/>
    <w:rsid w:val="00BB3DBD"/>
    <w:rsid w:val="00BF2C12"/>
    <w:rsid w:val="00C110BE"/>
    <w:rsid w:val="00C54A8C"/>
    <w:rsid w:val="00C553A8"/>
    <w:rsid w:val="00C607FA"/>
    <w:rsid w:val="00C65BD9"/>
    <w:rsid w:val="00D96943"/>
    <w:rsid w:val="00DC2A2D"/>
    <w:rsid w:val="00E05B16"/>
    <w:rsid w:val="00F150E1"/>
    <w:rsid w:val="00F37CE3"/>
    <w:rsid w:val="00F75A6D"/>
    <w:rsid w:val="00FB4A0E"/>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AE3B"/>
  <w15:docId w15:val="{99C9C66F-21B2-4B80-AC7E-9D62B1EC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rsid w:val="00BB3DBD"/>
    <w:pPr>
      <w:ind w:left="822" w:hanging="720"/>
      <w:outlineLvl w:val="0"/>
    </w:pPr>
    <w:rPr>
      <w:b/>
      <w:bCs/>
    </w:rPr>
  </w:style>
  <w:style w:type="paragraph" w:styleId="Heading2">
    <w:name w:val="heading 2"/>
    <w:basedOn w:val="Normal"/>
    <w:uiPriority w:val="1"/>
    <w:qFormat/>
    <w:rsid w:val="00BB3DBD"/>
    <w:pPr>
      <w:ind w:left="102"/>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B3DBD"/>
    <w:rPr>
      <w:sz w:val="20"/>
      <w:szCs w:val="20"/>
    </w:rPr>
  </w:style>
  <w:style w:type="paragraph" w:styleId="ListParagraph">
    <w:name w:val="List Paragraph"/>
    <w:basedOn w:val="Normal"/>
    <w:uiPriority w:val="1"/>
    <w:qFormat/>
    <w:rsid w:val="00BB3DBD"/>
    <w:pPr>
      <w:ind w:left="822"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F1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59F"/>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3860CA"/>
    <w:rPr>
      <w:sz w:val="16"/>
      <w:szCs w:val="16"/>
    </w:rPr>
  </w:style>
  <w:style w:type="paragraph" w:styleId="CommentText">
    <w:name w:val="annotation text"/>
    <w:basedOn w:val="Normal"/>
    <w:link w:val="CommentTextChar"/>
    <w:uiPriority w:val="99"/>
    <w:semiHidden/>
    <w:unhideWhenUsed/>
    <w:rsid w:val="003860CA"/>
    <w:rPr>
      <w:sz w:val="20"/>
      <w:szCs w:val="20"/>
    </w:rPr>
  </w:style>
  <w:style w:type="character" w:customStyle="1" w:styleId="CommentTextChar">
    <w:name w:val="Comment Text Char"/>
    <w:basedOn w:val="DefaultParagraphFont"/>
    <w:link w:val="CommentText"/>
    <w:uiPriority w:val="99"/>
    <w:semiHidden/>
    <w:rsid w:val="003860CA"/>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860CA"/>
    <w:rPr>
      <w:b/>
      <w:bCs/>
    </w:rPr>
  </w:style>
  <w:style w:type="character" w:customStyle="1" w:styleId="CommentSubjectChar">
    <w:name w:val="Comment Subject Char"/>
    <w:basedOn w:val="CommentTextChar"/>
    <w:link w:val="CommentSubject"/>
    <w:uiPriority w:val="99"/>
    <w:semiHidden/>
    <w:rsid w:val="003860CA"/>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Getinge AB</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Jeanette Hedén Carlsson</dc:creator>
  <cp:lastModifiedBy>Erika Berger-Loodh</cp:lastModifiedBy>
  <cp:revision>4</cp:revision>
  <dcterms:created xsi:type="dcterms:W3CDTF">2021-03-11T20:32:00Z</dcterms:created>
  <dcterms:modified xsi:type="dcterms:W3CDTF">2021-04-14T14:59:00Z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Microsoft® Word 2016</vt:lpwstr>
  </property>
  <property fmtid="{D5CDD505-2E9C-101B-9397-08002B2CF9AE}" pid="4" name="LastSaved">
    <vt:filetime>2021-02-16T00:00:00Z</vt:filetime>
  </property>
</Properties>
</file>